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35978" w14:textId="6E19C402" w:rsidR="004F77CE" w:rsidRPr="00841BCD" w:rsidRDefault="004F77CE" w:rsidP="004F77C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841BCD">
        <w:rPr>
          <w:rFonts w:ascii="Arial" w:eastAsia="SimSun" w:hAnsi="Arial" w:cs="Times New Roman"/>
          <w:b/>
          <w:bCs/>
          <w:sz w:val="24"/>
          <w:szCs w:val="24"/>
          <w:lang w:val="en-GB"/>
        </w:rPr>
        <w:t>3GPP T</w:t>
      </w:r>
      <w:bookmarkStart w:id="2" w:name="_Ref452454252"/>
      <w:bookmarkEnd w:id="2"/>
      <w:r w:rsidRPr="00841BCD">
        <w:rPr>
          <w:rFonts w:ascii="Arial" w:eastAsia="SimSun" w:hAnsi="Arial" w:cs="Times New Roman"/>
          <w:b/>
          <w:bCs/>
          <w:sz w:val="24"/>
          <w:szCs w:val="24"/>
          <w:lang w:val="en-GB"/>
        </w:rPr>
        <w:t xml:space="preserve">SG-RAN </w:t>
      </w:r>
      <w:r w:rsidRPr="0A7BF868">
        <w:rPr>
          <w:rFonts w:ascii="Arial" w:eastAsia="SimSun" w:hAnsi="Arial" w:cs="Times New Roman"/>
          <w:b/>
          <w:bCs/>
          <w:sz w:val="24"/>
          <w:szCs w:val="24"/>
          <w:lang w:val="en-GB"/>
        </w:rPr>
        <w:t>WG4 Meeting #9</w:t>
      </w:r>
      <w:r>
        <w:rPr>
          <w:rFonts w:ascii="Arial" w:eastAsia="SimSun" w:hAnsi="Arial" w:cs="Times New Roman"/>
          <w:b/>
          <w:bCs/>
          <w:sz w:val="24"/>
          <w:szCs w:val="24"/>
          <w:lang w:val="en-GB"/>
        </w:rPr>
        <w:t>3</w:t>
      </w:r>
      <w:r w:rsidRPr="0A7BF868">
        <w:rPr>
          <w:rFonts w:ascii="Arial" w:eastAsia="SimSun" w:hAnsi="Arial" w:cs="Times New Roman"/>
          <w:b/>
          <w:bCs/>
          <w:sz w:val="24"/>
          <w:szCs w:val="24"/>
          <w:lang w:val="en-GB"/>
        </w:rPr>
        <w:t xml:space="preserve">                </w:t>
      </w:r>
      <w:r w:rsidRPr="00841BCD">
        <w:rPr>
          <w:rFonts w:ascii="Arial" w:eastAsia="SimSun" w:hAnsi="Arial" w:cs="Times New Roman"/>
          <w:b/>
          <w:bCs/>
          <w:sz w:val="24"/>
          <w:szCs w:val="20"/>
          <w:lang w:val="en-GB"/>
        </w:rPr>
        <w:tab/>
      </w:r>
      <w:r w:rsidR="0064354B" w:rsidRPr="0064354B">
        <w:rPr>
          <w:rFonts w:ascii="Arial" w:eastAsia="SimSun" w:hAnsi="Arial" w:cs="Times New Roman"/>
          <w:b/>
          <w:bCs/>
          <w:sz w:val="24"/>
          <w:szCs w:val="24"/>
          <w:lang w:val="en-GB" w:eastAsia="ja-JP"/>
        </w:rPr>
        <w:t>R4-1914180</w:t>
      </w:r>
    </w:p>
    <w:bookmarkEnd w:id="0"/>
    <w:bookmarkEnd w:id="1"/>
    <w:p w14:paraId="13AC0AD1" w14:textId="77777777" w:rsidR="004F77CE" w:rsidRPr="003B4FC5" w:rsidRDefault="004F77CE" w:rsidP="004F77CE">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3B4FC5">
        <w:rPr>
          <w:rFonts w:ascii="Arial" w:eastAsia="SimSun" w:hAnsi="Arial" w:cs="Times New Roman"/>
          <w:b/>
          <w:sz w:val="24"/>
          <w:szCs w:val="20"/>
        </w:rPr>
        <w:t>Reno, USA, November 18</w:t>
      </w:r>
      <w:r w:rsidRPr="003B4FC5">
        <w:rPr>
          <w:rFonts w:ascii="Arial" w:eastAsia="SimSun" w:hAnsi="Arial" w:cs="Times New Roman"/>
          <w:b/>
          <w:sz w:val="24"/>
          <w:szCs w:val="20"/>
          <w:vertAlign w:val="superscript"/>
        </w:rPr>
        <w:t>th</w:t>
      </w:r>
      <w:r w:rsidRPr="003B4FC5">
        <w:rPr>
          <w:rFonts w:ascii="Arial" w:eastAsia="SimSun" w:hAnsi="Arial" w:cs="Times New Roman"/>
          <w:b/>
          <w:sz w:val="24"/>
          <w:szCs w:val="20"/>
        </w:rPr>
        <w:t xml:space="preserve"> – 22</w:t>
      </w:r>
      <w:r w:rsidRPr="003B4FC5">
        <w:rPr>
          <w:rFonts w:ascii="Arial" w:eastAsia="SimSun" w:hAnsi="Arial" w:cs="Times New Roman"/>
          <w:b/>
          <w:sz w:val="24"/>
          <w:szCs w:val="20"/>
          <w:vertAlign w:val="superscript"/>
        </w:rPr>
        <w:t>nd</w:t>
      </w:r>
      <w:r>
        <w:rPr>
          <w:rFonts w:ascii="Arial" w:eastAsia="SimSun" w:hAnsi="Arial" w:cs="Times New Roman"/>
          <w:b/>
          <w:sz w:val="24"/>
          <w:szCs w:val="20"/>
        </w:rPr>
        <w:t>, 2019</w:t>
      </w:r>
    </w:p>
    <w:p w14:paraId="028726B1" w14:textId="77777777" w:rsidR="00841BCD" w:rsidRPr="004F77C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5E3F712"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58A2BCE"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2513C">
        <w:rPr>
          <w:rFonts w:ascii="Arial" w:eastAsia="Calibri" w:hAnsi="Arial" w:cs="Arial"/>
          <w:b/>
          <w:bCs/>
          <w:sz w:val="24"/>
          <w:lang w:val="en-GB"/>
        </w:rPr>
        <w:t>On Active BWP switch delay in NR-U</w:t>
      </w:r>
      <w:r w:rsidRPr="00841BCD" w:rsidDel="000A742C">
        <w:rPr>
          <w:rFonts w:ascii="Arial" w:eastAsia="Calibri" w:hAnsi="Arial" w:cs="Arial"/>
          <w:b/>
          <w:bCs/>
          <w:sz w:val="24"/>
          <w:lang w:val="en-GB"/>
        </w:rPr>
        <w:t xml:space="preserve"> </w:t>
      </w:r>
    </w:p>
    <w:p w14:paraId="00BF6C82" w14:textId="37D631C7" w:rsidR="00841BCD" w:rsidRPr="00BC766B"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sidRPr="00BC766B">
        <w:rPr>
          <w:rFonts w:ascii="Arial" w:eastAsia="MS Mincho" w:hAnsi="Arial" w:cs="Arial"/>
          <w:b/>
          <w:bCs/>
          <w:sz w:val="24"/>
          <w:szCs w:val="20"/>
          <w:lang w:val="en-GB"/>
        </w:rPr>
        <w:t>9</w:t>
      </w:r>
      <w:r w:rsidRPr="00BC766B">
        <w:rPr>
          <w:rFonts w:ascii="Arial" w:eastAsia="MS Mincho" w:hAnsi="Arial" w:cs="Arial"/>
          <w:b/>
          <w:bCs/>
          <w:sz w:val="24"/>
          <w:szCs w:val="20"/>
          <w:lang w:val="en-GB"/>
        </w:rPr>
        <w:t>.</w:t>
      </w:r>
      <w:r w:rsidR="00BC766B" w:rsidRPr="00BC766B">
        <w:rPr>
          <w:rFonts w:ascii="Arial" w:eastAsia="MS Mincho" w:hAnsi="Arial" w:cs="Arial"/>
          <w:b/>
          <w:bCs/>
          <w:sz w:val="24"/>
          <w:szCs w:val="20"/>
          <w:lang w:val="en-GB"/>
        </w:rPr>
        <w:t>1.</w:t>
      </w:r>
      <w:r w:rsidR="004F77CE">
        <w:rPr>
          <w:rFonts w:ascii="Arial" w:eastAsia="MS Mincho" w:hAnsi="Arial" w:cs="Arial"/>
          <w:b/>
          <w:bCs/>
          <w:sz w:val="24"/>
          <w:szCs w:val="20"/>
          <w:lang w:val="en-GB"/>
        </w:rPr>
        <w:t>4</w:t>
      </w:r>
      <w:r w:rsidR="00BC766B" w:rsidRPr="00BC766B">
        <w:rPr>
          <w:rFonts w:ascii="Arial" w:eastAsia="MS Mincho" w:hAnsi="Arial" w:cs="Arial"/>
          <w:b/>
          <w:bCs/>
          <w:sz w:val="24"/>
          <w:szCs w:val="20"/>
          <w:lang w:val="en-GB"/>
        </w:rPr>
        <w:t>.7</w:t>
      </w:r>
    </w:p>
    <w:p w14:paraId="4AB27591" w14:textId="2E82EDE2" w:rsidR="00841BCD" w:rsidRPr="00841BCD" w:rsidRDefault="00841BCD" w:rsidP="00841BCD">
      <w:pPr>
        <w:tabs>
          <w:tab w:val="left" w:pos="1985"/>
        </w:tabs>
        <w:rPr>
          <w:rFonts w:ascii="Arial" w:eastAsia="Calibri" w:hAnsi="Arial" w:cs="Arial"/>
          <w:b/>
          <w:bCs/>
          <w:sz w:val="24"/>
          <w:lang w:val="en-GB"/>
        </w:rPr>
      </w:pPr>
      <w:r w:rsidRPr="00BC766B">
        <w:rPr>
          <w:rFonts w:ascii="Arial" w:eastAsia="Calibri" w:hAnsi="Arial" w:cs="Arial"/>
          <w:b/>
          <w:bCs/>
          <w:sz w:val="24"/>
          <w:lang w:val="en-GB"/>
        </w:rPr>
        <w:t>Document for:</w:t>
      </w:r>
      <w:r w:rsidRPr="00BC766B">
        <w:rPr>
          <w:rFonts w:ascii="Arial" w:eastAsia="Calibri" w:hAnsi="Arial" w:cs="Arial"/>
          <w:b/>
          <w:bCs/>
          <w:sz w:val="24"/>
          <w:lang w:val="en-GB"/>
        </w:rPr>
        <w:tab/>
        <w:t>Discussion</w:t>
      </w:r>
      <w:r w:rsidR="0074649E" w:rsidRPr="00BC766B">
        <w:rPr>
          <w:rFonts w:ascii="Arial" w:eastAsia="Calibri" w:hAnsi="Arial" w:cs="Arial"/>
          <w:b/>
          <w:bCs/>
          <w:sz w:val="24"/>
          <w:lang w:val="en-GB"/>
        </w:rPr>
        <w:t xml:space="preserve"> and Decision</w:t>
      </w:r>
    </w:p>
    <w:p w14:paraId="3B551A50"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1BE84069" w14:textId="5088D1B9" w:rsidR="006E799E" w:rsidRDefault="006E799E" w:rsidP="006E799E">
      <w:pPr>
        <w:ind w:right="-22"/>
        <w:rPr>
          <w:rFonts w:eastAsia="Calibri" w:cs="Times New Roman"/>
          <w:b/>
          <w:szCs w:val="20"/>
        </w:rPr>
      </w:pPr>
      <w:r>
        <w:rPr>
          <w:rFonts w:eastAsia="Calibri" w:cs="Times New Roman"/>
          <w:szCs w:val="20"/>
          <w:lang w:val="en-GB"/>
        </w:rPr>
        <w:t xml:space="preserve">In the last two RAN4 meetings, the following was stated in the Way Forwards: </w:t>
      </w:r>
    </w:p>
    <w:p w14:paraId="37FBC400" w14:textId="77777777" w:rsidR="006E799E" w:rsidRDefault="006E799E" w:rsidP="006E799E">
      <w:pPr>
        <w:ind w:right="-22"/>
        <w:rPr>
          <w:rFonts w:eastAsia="Calibri" w:cs="Times New Roman"/>
          <w:b/>
          <w:szCs w:val="20"/>
        </w:rPr>
      </w:pPr>
      <w:r>
        <w:rPr>
          <w:rFonts w:eastAsia="Calibri" w:cs="Times New Roman"/>
          <w:b/>
          <w:szCs w:val="20"/>
        </w:rPr>
        <w:t xml:space="preserve">RAN4 92 </w:t>
      </w:r>
      <w:r>
        <w:rPr>
          <w:rFonts w:eastAsia="Calibri" w:cs="Times New Roman"/>
          <w:b/>
          <w:szCs w:val="20"/>
        </w:rPr>
        <w:fldChar w:fldCharType="begin"/>
      </w:r>
      <w:r>
        <w:rPr>
          <w:rFonts w:eastAsia="Calibri" w:cs="Times New Roman"/>
          <w:b/>
          <w:szCs w:val="20"/>
        </w:rPr>
        <w:instrText xml:space="preserve"> REF _Ref19179570 \r \h </w:instrText>
      </w:r>
      <w:r>
        <w:rPr>
          <w:rFonts w:eastAsia="Calibri" w:cs="Times New Roman"/>
          <w:b/>
          <w:szCs w:val="20"/>
        </w:rPr>
      </w:r>
      <w:r>
        <w:rPr>
          <w:rFonts w:eastAsia="Calibri" w:cs="Times New Roman"/>
          <w:b/>
          <w:szCs w:val="20"/>
        </w:rPr>
        <w:fldChar w:fldCharType="separate"/>
      </w:r>
      <w:r>
        <w:rPr>
          <w:rFonts w:eastAsia="Calibri" w:cs="Times New Roman"/>
          <w:b/>
          <w:szCs w:val="20"/>
        </w:rPr>
        <w:t>[1]</w:t>
      </w:r>
      <w:r>
        <w:rPr>
          <w:rFonts w:eastAsia="Calibri" w:cs="Times New Roman"/>
          <w:b/>
          <w:szCs w:val="20"/>
        </w:rPr>
        <w:fldChar w:fldCharType="end"/>
      </w:r>
    </w:p>
    <w:p w14:paraId="509B1542" w14:textId="77777777" w:rsidR="006E799E" w:rsidRPr="00A87321" w:rsidRDefault="006E799E" w:rsidP="006E799E">
      <w:pPr>
        <w:numPr>
          <w:ilvl w:val="0"/>
          <w:numId w:val="21"/>
        </w:numPr>
        <w:spacing w:before="100" w:after="0" w:line="240" w:lineRule="auto"/>
        <w:ind w:left="1080"/>
        <w:textAlignment w:val="center"/>
        <w:rPr>
          <w:rFonts w:eastAsia="Times New Roman" w:cs="Times New Roman"/>
          <w:color w:val="000000"/>
          <w:sz w:val="18"/>
          <w:szCs w:val="18"/>
          <w:lang w:eastAsia="da-DK"/>
        </w:rPr>
      </w:pPr>
      <w:r w:rsidRPr="00A87321">
        <w:rPr>
          <w:rFonts w:eastAsia="Times New Roman" w:cs="Times New Roman"/>
          <w:color w:val="000000"/>
          <w:sz w:val="18"/>
          <w:szCs w:val="18"/>
          <w:lang w:eastAsia="da-DK"/>
        </w:rPr>
        <w:t>Active BWP Switching</w:t>
      </w:r>
    </w:p>
    <w:p w14:paraId="688B55F9" w14:textId="77777777" w:rsidR="006E799E" w:rsidRPr="00A87321" w:rsidRDefault="006E799E" w:rsidP="006E799E">
      <w:pPr>
        <w:numPr>
          <w:ilvl w:val="0"/>
          <w:numId w:val="22"/>
        </w:numPr>
        <w:tabs>
          <w:tab w:val="clear" w:pos="720"/>
          <w:tab w:val="num" w:pos="1620"/>
        </w:tabs>
        <w:spacing w:after="0" w:line="240" w:lineRule="auto"/>
        <w:ind w:left="1440"/>
        <w:textAlignment w:val="center"/>
        <w:rPr>
          <w:rFonts w:ascii="Calibri" w:eastAsia="Times New Roman" w:hAnsi="Calibri" w:cs="Calibri"/>
          <w:sz w:val="22"/>
          <w:lang w:eastAsia="da-DK"/>
        </w:rPr>
      </w:pPr>
      <w:r w:rsidRPr="00A87321">
        <w:rPr>
          <w:rFonts w:eastAsia="Times New Roman" w:cs="Times New Roman"/>
          <w:szCs w:val="20"/>
          <w:lang w:eastAsia="da-DK"/>
        </w:rPr>
        <w:t>The basic time period over which the BWP switching occurs shall be the same as defined in the existing requirements (applies for DCI-, timer-, and RRC-based active BWP switching)</w:t>
      </w:r>
    </w:p>
    <w:p w14:paraId="446E18DC" w14:textId="77777777" w:rsidR="006E799E" w:rsidRPr="00A87321" w:rsidRDefault="006E799E" w:rsidP="006E799E">
      <w:pPr>
        <w:numPr>
          <w:ilvl w:val="0"/>
          <w:numId w:val="22"/>
        </w:numPr>
        <w:tabs>
          <w:tab w:val="clear" w:pos="720"/>
          <w:tab w:val="num" w:pos="1620"/>
        </w:tabs>
        <w:spacing w:after="0" w:line="240" w:lineRule="auto"/>
        <w:ind w:left="1440"/>
        <w:textAlignment w:val="center"/>
        <w:rPr>
          <w:rFonts w:ascii="Calibri" w:eastAsia="Times New Roman" w:hAnsi="Calibri" w:cs="Calibri"/>
          <w:sz w:val="22"/>
          <w:lang w:eastAsia="da-DK"/>
        </w:rPr>
      </w:pPr>
      <w:r w:rsidRPr="00A87321">
        <w:rPr>
          <w:rFonts w:eastAsia="Times New Roman" w:cs="Times New Roman"/>
          <w:szCs w:val="20"/>
          <w:lang w:eastAsia="da-DK"/>
        </w:rPr>
        <w:t>The impact of LBT failures on PDSCH reception or PUSCH transmission after the BWP switching needs further investigation</w:t>
      </w:r>
    </w:p>
    <w:p w14:paraId="4EBC7CDF" w14:textId="77777777" w:rsidR="006E799E" w:rsidRPr="00A87321" w:rsidRDefault="006E799E" w:rsidP="006E799E">
      <w:pPr>
        <w:numPr>
          <w:ilvl w:val="0"/>
          <w:numId w:val="22"/>
        </w:numPr>
        <w:tabs>
          <w:tab w:val="clear" w:pos="720"/>
          <w:tab w:val="num" w:pos="1620"/>
        </w:tabs>
        <w:spacing w:after="0" w:line="240" w:lineRule="auto"/>
        <w:ind w:left="1440"/>
        <w:textAlignment w:val="center"/>
        <w:rPr>
          <w:rFonts w:ascii="Calibri" w:eastAsia="Times New Roman" w:hAnsi="Calibri" w:cs="Calibri"/>
          <w:sz w:val="22"/>
          <w:lang w:eastAsia="da-DK"/>
        </w:rPr>
      </w:pPr>
      <w:r w:rsidRPr="00A87321">
        <w:rPr>
          <w:rFonts w:eastAsia="Times New Roman" w:cs="Times New Roman"/>
          <w:szCs w:val="20"/>
          <w:lang w:eastAsia="da-DK"/>
        </w:rPr>
        <w:t>The duration of interruption on a serving cell in licensed band or unlicensed band or due to BWP switching on a licensed or unlicensed band can be based on the existing interruption requirements</w:t>
      </w:r>
    </w:p>
    <w:p w14:paraId="710D0791" w14:textId="77777777" w:rsidR="006E799E" w:rsidRPr="00A87321" w:rsidRDefault="006E799E" w:rsidP="00841BCD">
      <w:pPr>
        <w:ind w:right="-22"/>
        <w:rPr>
          <w:rFonts w:eastAsia="Calibri" w:cs="Times New Roman"/>
          <w:szCs w:val="20"/>
        </w:rPr>
      </w:pPr>
    </w:p>
    <w:p w14:paraId="40305982" w14:textId="182EBDE6" w:rsidR="00030886" w:rsidRPr="00A87321" w:rsidRDefault="006E799E" w:rsidP="00841BCD">
      <w:pPr>
        <w:ind w:right="-22"/>
        <w:rPr>
          <w:rFonts w:eastAsia="Calibri" w:cs="Times New Roman"/>
          <w:b/>
          <w:szCs w:val="20"/>
          <w:lang w:val="en-GB"/>
        </w:rPr>
      </w:pPr>
      <w:r w:rsidRPr="00A87321">
        <w:rPr>
          <w:rFonts w:eastAsia="Calibri" w:cs="Times New Roman"/>
          <w:b/>
          <w:szCs w:val="20"/>
          <w:lang w:val="en-GB"/>
        </w:rPr>
        <w:t xml:space="preserve">RAN4 92bis </w:t>
      </w:r>
      <w:r w:rsidRPr="00A87321">
        <w:rPr>
          <w:rFonts w:eastAsia="Calibri" w:cs="Times New Roman"/>
          <w:b/>
          <w:szCs w:val="20"/>
          <w:lang w:val="en-GB"/>
        </w:rPr>
        <w:fldChar w:fldCharType="begin"/>
      </w:r>
      <w:r w:rsidRPr="00A87321">
        <w:rPr>
          <w:rFonts w:eastAsia="Calibri" w:cs="Times New Roman"/>
          <w:b/>
          <w:szCs w:val="20"/>
          <w:lang w:val="en-GB"/>
        </w:rPr>
        <w:instrText xml:space="preserve"> REF _Ref23347087 \r \h  \* MERGEFORMAT </w:instrText>
      </w:r>
      <w:r w:rsidRPr="00A87321">
        <w:rPr>
          <w:rFonts w:eastAsia="Calibri" w:cs="Times New Roman"/>
          <w:b/>
          <w:szCs w:val="20"/>
          <w:lang w:val="en-GB"/>
        </w:rPr>
      </w:r>
      <w:r w:rsidRPr="00A87321">
        <w:rPr>
          <w:rFonts w:eastAsia="Calibri" w:cs="Times New Roman"/>
          <w:b/>
          <w:szCs w:val="20"/>
          <w:lang w:val="en-GB"/>
        </w:rPr>
        <w:fldChar w:fldCharType="separate"/>
      </w:r>
      <w:r w:rsidRPr="00A87321">
        <w:rPr>
          <w:rFonts w:eastAsia="Calibri" w:cs="Times New Roman"/>
          <w:b/>
          <w:szCs w:val="20"/>
          <w:lang w:val="en-GB"/>
        </w:rPr>
        <w:t>[2]</w:t>
      </w:r>
      <w:r w:rsidRPr="00A87321">
        <w:rPr>
          <w:rFonts w:eastAsia="Calibri" w:cs="Times New Roman"/>
          <w:b/>
          <w:szCs w:val="20"/>
          <w:lang w:val="en-GB"/>
        </w:rPr>
        <w:fldChar w:fldCharType="end"/>
      </w:r>
    </w:p>
    <w:p w14:paraId="5CFB9DAB" w14:textId="77777777" w:rsidR="003B53FB" w:rsidRPr="00A87321" w:rsidRDefault="003B53FB" w:rsidP="003B53FB">
      <w:pPr>
        <w:numPr>
          <w:ilvl w:val="0"/>
          <w:numId w:val="21"/>
        </w:numPr>
        <w:spacing w:after="0" w:line="240" w:lineRule="auto"/>
        <w:ind w:left="1080"/>
        <w:textAlignment w:val="center"/>
        <w:rPr>
          <w:rFonts w:eastAsia="Times New Roman" w:cs="Times New Roman"/>
          <w:color w:val="000000"/>
          <w:szCs w:val="20"/>
          <w:lang w:eastAsia="da-DK"/>
        </w:rPr>
      </w:pPr>
      <w:r w:rsidRPr="00A87321">
        <w:rPr>
          <w:rFonts w:eastAsia="Times New Roman" w:cs="Times New Roman"/>
          <w:color w:val="000000"/>
          <w:szCs w:val="20"/>
          <w:lang w:val="x-none" w:eastAsia="da-DK"/>
        </w:rPr>
        <w:t xml:space="preserve">If the delay due to the DL LBT failure </w:t>
      </w:r>
      <w:r w:rsidRPr="00A87321">
        <w:rPr>
          <w:rFonts w:eastAsia="Times New Roman" w:cs="Times New Roman"/>
          <w:color w:val="000000"/>
          <w:szCs w:val="20"/>
          <w:lang w:val="sv-SE" w:eastAsia="da-DK"/>
        </w:rPr>
        <w:t xml:space="preserve">in the </w:t>
      </w:r>
      <w:proofErr w:type="spellStart"/>
      <w:r w:rsidRPr="00A87321">
        <w:rPr>
          <w:rFonts w:eastAsia="Times New Roman" w:cs="Times New Roman"/>
          <w:color w:val="000000"/>
          <w:szCs w:val="20"/>
          <w:lang w:val="sv-SE" w:eastAsia="da-DK"/>
        </w:rPr>
        <w:t>target</w:t>
      </w:r>
      <w:proofErr w:type="spellEnd"/>
      <w:r w:rsidRPr="00A87321">
        <w:rPr>
          <w:rFonts w:eastAsia="Times New Roman" w:cs="Times New Roman"/>
          <w:color w:val="000000"/>
          <w:szCs w:val="20"/>
          <w:lang w:val="sv-SE" w:eastAsia="da-DK"/>
        </w:rPr>
        <w:t xml:space="preserve"> BWP </w:t>
      </w:r>
      <w:r w:rsidRPr="00A87321">
        <w:rPr>
          <w:rFonts w:eastAsia="Times New Roman" w:cs="Times New Roman"/>
          <w:color w:val="000000"/>
          <w:szCs w:val="20"/>
          <w:lang w:val="x-none" w:eastAsia="da-DK"/>
        </w:rPr>
        <w:t>becomes too long then</w:t>
      </w:r>
      <w:r w:rsidRPr="00A87321">
        <w:rPr>
          <w:rFonts w:eastAsia="Times New Roman" w:cs="Times New Roman"/>
          <w:color w:val="000000"/>
          <w:szCs w:val="20"/>
          <w:lang w:val="sv-SE" w:eastAsia="da-DK"/>
        </w:rPr>
        <w:t>:</w:t>
      </w:r>
    </w:p>
    <w:p w14:paraId="3BDC8E46" w14:textId="77777777" w:rsidR="003B53FB" w:rsidRPr="00A87321" w:rsidRDefault="003B53FB" w:rsidP="003B53FB">
      <w:pPr>
        <w:numPr>
          <w:ilvl w:val="1"/>
          <w:numId w:val="21"/>
        </w:numPr>
        <w:spacing w:after="0" w:line="240" w:lineRule="auto"/>
        <w:textAlignment w:val="center"/>
        <w:rPr>
          <w:rFonts w:eastAsia="Times New Roman" w:cs="Times New Roman"/>
          <w:color w:val="000000"/>
          <w:szCs w:val="20"/>
          <w:lang w:eastAsia="da-DK"/>
        </w:rPr>
      </w:pPr>
      <w:proofErr w:type="spellStart"/>
      <w:r w:rsidRPr="00A87321">
        <w:rPr>
          <w:rFonts w:eastAsia="Times New Roman" w:cs="Times New Roman"/>
          <w:color w:val="000000"/>
          <w:szCs w:val="20"/>
          <w:lang w:val="sv-SE" w:eastAsia="da-DK"/>
        </w:rPr>
        <w:t>Some</w:t>
      </w:r>
      <w:proofErr w:type="spellEnd"/>
      <w:r w:rsidRPr="00A87321">
        <w:rPr>
          <w:rFonts w:eastAsia="Times New Roman" w:cs="Times New Roman"/>
          <w:color w:val="000000"/>
          <w:szCs w:val="20"/>
          <w:lang w:val="sv-SE" w:eastAsia="da-DK"/>
        </w:rPr>
        <w:t xml:space="preserve"> </w:t>
      </w:r>
      <w:r w:rsidRPr="00A87321">
        <w:rPr>
          <w:rFonts w:eastAsia="Times New Roman" w:cs="Times New Roman"/>
          <w:color w:val="000000"/>
          <w:szCs w:val="20"/>
          <w:lang w:val="x-none" w:eastAsia="da-DK"/>
        </w:rPr>
        <w:t xml:space="preserve">UE </w:t>
      </w:r>
      <w:proofErr w:type="spellStart"/>
      <w:r w:rsidRPr="00A87321">
        <w:rPr>
          <w:rFonts w:eastAsia="Times New Roman" w:cs="Times New Roman"/>
          <w:color w:val="000000"/>
          <w:szCs w:val="20"/>
          <w:lang w:val="x-none" w:eastAsia="da-DK"/>
        </w:rPr>
        <w:t>may</w:t>
      </w:r>
      <w:proofErr w:type="spellEnd"/>
      <w:r w:rsidRPr="00A87321">
        <w:rPr>
          <w:rFonts w:eastAsia="Times New Roman" w:cs="Times New Roman"/>
          <w:color w:val="000000"/>
          <w:szCs w:val="20"/>
          <w:lang w:val="x-none" w:eastAsia="da-DK"/>
        </w:rPr>
        <w:t xml:space="preserve"> not have a valid </w:t>
      </w:r>
      <w:proofErr w:type="spellStart"/>
      <w:r w:rsidRPr="00A87321">
        <w:rPr>
          <w:rFonts w:eastAsia="Times New Roman" w:cs="Times New Roman"/>
          <w:color w:val="000000"/>
          <w:szCs w:val="20"/>
          <w:lang w:val="x-none" w:eastAsia="da-DK"/>
        </w:rPr>
        <w:t>scheduling</w:t>
      </w:r>
      <w:proofErr w:type="spellEnd"/>
      <w:r w:rsidRPr="00A87321">
        <w:rPr>
          <w:rFonts w:eastAsia="Times New Roman" w:cs="Times New Roman"/>
          <w:color w:val="000000"/>
          <w:szCs w:val="20"/>
          <w:lang w:val="x-none" w:eastAsia="da-DK"/>
        </w:rPr>
        <w:t xml:space="preserve"> grant for </w:t>
      </w:r>
      <w:proofErr w:type="spellStart"/>
      <w:r w:rsidRPr="00A87321">
        <w:rPr>
          <w:rFonts w:eastAsia="Times New Roman" w:cs="Times New Roman"/>
          <w:color w:val="000000"/>
          <w:szCs w:val="20"/>
          <w:lang w:val="x-none" w:eastAsia="da-DK"/>
        </w:rPr>
        <w:t>transmitting</w:t>
      </w:r>
      <w:proofErr w:type="spellEnd"/>
      <w:r w:rsidRPr="00A87321">
        <w:rPr>
          <w:rFonts w:eastAsia="Times New Roman" w:cs="Times New Roman"/>
          <w:color w:val="000000"/>
          <w:szCs w:val="20"/>
          <w:lang w:val="x-none" w:eastAsia="da-DK"/>
        </w:rPr>
        <w:t xml:space="preserve"> in UL </w:t>
      </w:r>
      <w:proofErr w:type="spellStart"/>
      <w:r w:rsidRPr="00A87321">
        <w:rPr>
          <w:rFonts w:eastAsia="Times New Roman" w:cs="Times New Roman"/>
          <w:color w:val="000000"/>
          <w:szCs w:val="20"/>
          <w:lang w:val="x-none" w:eastAsia="da-DK"/>
        </w:rPr>
        <w:t>there</w:t>
      </w:r>
      <w:proofErr w:type="spellEnd"/>
      <w:r w:rsidRPr="00A87321">
        <w:rPr>
          <w:rFonts w:eastAsia="Times New Roman" w:cs="Times New Roman"/>
          <w:color w:val="000000"/>
          <w:szCs w:val="20"/>
          <w:lang w:val="x-none" w:eastAsia="da-DK"/>
        </w:rPr>
        <w:t xml:space="preserve"> </w:t>
      </w:r>
      <w:proofErr w:type="spellStart"/>
      <w:r w:rsidRPr="00A87321">
        <w:rPr>
          <w:rFonts w:eastAsia="Times New Roman" w:cs="Times New Roman"/>
          <w:color w:val="000000"/>
          <w:szCs w:val="20"/>
          <w:lang w:val="x-none" w:eastAsia="da-DK"/>
        </w:rPr>
        <w:t>may</w:t>
      </w:r>
      <w:proofErr w:type="spellEnd"/>
      <w:r w:rsidRPr="00A87321">
        <w:rPr>
          <w:rFonts w:eastAsia="Times New Roman" w:cs="Times New Roman"/>
          <w:color w:val="000000"/>
          <w:szCs w:val="20"/>
          <w:lang w:val="x-none" w:eastAsia="da-DK"/>
        </w:rPr>
        <w:t xml:space="preserve"> </w:t>
      </w:r>
      <w:proofErr w:type="spellStart"/>
      <w:r w:rsidRPr="00A87321">
        <w:rPr>
          <w:rFonts w:eastAsia="Times New Roman" w:cs="Times New Roman"/>
          <w:color w:val="000000"/>
          <w:szCs w:val="20"/>
          <w:lang w:val="x-none" w:eastAsia="da-DK"/>
        </w:rPr>
        <w:t>be</w:t>
      </w:r>
      <w:proofErr w:type="spellEnd"/>
      <w:r w:rsidRPr="00A87321">
        <w:rPr>
          <w:rFonts w:eastAsia="Times New Roman" w:cs="Times New Roman"/>
          <w:color w:val="000000"/>
          <w:szCs w:val="20"/>
          <w:lang w:val="x-none" w:eastAsia="da-DK"/>
        </w:rPr>
        <w:t xml:space="preserve"> </w:t>
      </w:r>
      <w:proofErr w:type="spellStart"/>
      <w:r w:rsidRPr="00A87321">
        <w:rPr>
          <w:rFonts w:eastAsia="Times New Roman" w:cs="Times New Roman"/>
          <w:color w:val="000000"/>
          <w:szCs w:val="20"/>
          <w:lang w:val="x-none" w:eastAsia="da-DK"/>
        </w:rPr>
        <w:t>additional</w:t>
      </w:r>
      <w:proofErr w:type="spellEnd"/>
      <w:r w:rsidRPr="00A87321">
        <w:rPr>
          <w:rFonts w:eastAsia="Times New Roman" w:cs="Times New Roman"/>
          <w:color w:val="000000"/>
          <w:szCs w:val="20"/>
          <w:lang w:val="x-none" w:eastAsia="da-DK"/>
        </w:rPr>
        <w:t xml:space="preserve"> </w:t>
      </w:r>
      <w:proofErr w:type="spellStart"/>
      <w:r w:rsidRPr="00A87321">
        <w:rPr>
          <w:rFonts w:eastAsia="Times New Roman" w:cs="Times New Roman"/>
          <w:color w:val="000000"/>
          <w:szCs w:val="20"/>
          <w:lang w:val="x-none" w:eastAsia="da-DK"/>
        </w:rPr>
        <w:t>delay</w:t>
      </w:r>
      <w:proofErr w:type="spellEnd"/>
      <w:r w:rsidRPr="00A87321">
        <w:rPr>
          <w:rFonts w:eastAsia="Times New Roman" w:cs="Times New Roman"/>
          <w:color w:val="000000"/>
          <w:szCs w:val="20"/>
          <w:lang w:val="x-none" w:eastAsia="da-DK"/>
        </w:rPr>
        <w:t xml:space="preserve"> to </w:t>
      </w:r>
      <w:proofErr w:type="spellStart"/>
      <w:r w:rsidRPr="00A87321">
        <w:rPr>
          <w:rFonts w:eastAsia="Times New Roman" w:cs="Times New Roman"/>
          <w:color w:val="000000"/>
          <w:szCs w:val="20"/>
          <w:lang w:val="x-none" w:eastAsia="da-DK"/>
        </w:rPr>
        <w:t>receive</w:t>
      </w:r>
      <w:proofErr w:type="spellEnd"/>
      <w:r w:rsidRPr="00A87321">
        <w:rPr>
          <w:rFonts w:eastAsia="Times New Roman" w:cs="Times New Roman"/>
          <w:color w:val="000000"/>
          <w:szCs w:val="20"/>
          <w:lang w:val="x-none" w:eastAsia="da-DK"/>
        </w:rPr>
        <w:t xml:space="preserve"> the grant for </w:t>
      </w:r>
      <w:proofErr w:type="spellStart"/>
      <w:r w:rsidRPr="00A87321">
        <w:rPr>
          <w:rFonts w:eastAsia="Times New Roman" w:cs="Times New Roman"/>
          <w:color w:val="000000"/>
          <w:szCs w:val="20"/>
          <w:lang w:val="x-none" w:eastAsia="da-DK"/>
        </w:rPr>
        <w:t>transmitting</w:t>
      </w:r>
      <w:proofErr w:type="spellEnd"/>
      <w:r w:rsidRPr="00A87321">
        <w:rPr>
          <w:rFonts w:eastAsia="Times New Roman" w:cs="Times New Roman"/>
          <w:color w:val="000000"/>
          <w:szCs w:val="20"/>
          <w:lang w:val="x-none" w:eastAsia="da-DK"/>
        </w:rPr>
        <w:t xml:space="preserve"> PUSCH</w:t>
      </w:r>
    </w:p>
    <w:p w14:paraId="174AF583" w14:textId="77777777" w:rsidR="003B53FB" w:rsidRPr="00A87321" w:rsidRDefault="003B53FB" w:rsidP="003B53FB">
      <w:pPr>
        <w:numPr>
          <w:ilvl w:val="1"/>
          <w:numId w:val="21"/>
        </w:numPr>
        <w:spacing w:after="0" w:line="240" w:lineRule="auto"/>
        <w:textAlignment w:val="center"/>
        <w:rPr>
          <w:rFonts w:eastAsia="Times New Roman" w:cs="Times New Roman"/>
          <w:color w:val="000000"/>
          <w:szCs w:val="20"/>
          <w:lang w:eastAsia="da-DK"/>
        </w:rPr>
      </w:pPr>
      <w:proofErr w:type="spellStart"/>
      <w:r w:rsidRPr="00A87321">
        <w:rPr>
          <w:rFonts w:eastAsia="Times New Roman" w:cs="Times New Roman"/>
          <w:color w:val="000000"/>
          <w:szCs w:val="20"/>
          <w:lang w:val="sv-SE" w:eastAsia="da-DK"/>
        </w:rPr>
        <w:t>Some</w:t>
      </w:r>
      <w:proofErr w:type="spellEnd"/>
      <w:r w:rsidRPr="00A87321">
        <w:rPr>
          <w:rFonts w:eastAsia="Times New Roman" w:cs="Times New Roman"/>
          <w:color w:val="000000"/>
          <w:szCs w:val="20"/>
          <w:lang w:val="sv-SE" w:eastAsia="da-DK"/>
        </w:rPr>
        <w:t xml:space="preserve"> </w:t>
      </w:r>
      <w:r w:rsidRPr="00A87321">
        <w:rPr>
          <w:rFonts w:eastAsia="Times New Roman" w:cs="Times New Roman"/>
          <w:color w:val="000000"/>
          <w:szCs w:val="20"/>
          <w:lang w:val="x-none" w:eastAsia="da-DK"/>
        </w:rPr>
        <w:t xml:space="preserve">UE </w:t>
      </w:r>
      <w:proofErr w:type="spellStart"/>
      <w:r w:rsidRPr="00A87321">
        <w:rPr>
          <w:rFonts w:eastAsia="Times New Roman" w:cs="Times New Roman"/>
          <w:color w:val="000000"/>
          <w:szCs w:val="20"/>
          <w:lang w:val="sv-SE" w:eastAsia="da-DK"/>
        </w:rPr>
        <w:t>may</w:t>
      </w:r>
      <w:proofErr w:type="spellEnd"/>
      <w:r w:rsidRPr="00A87321">
        <w:rPr>
          <w:rFonts w:eastAsia="Times New Roman" w:cs="Times New Roman"/>
          <w:color w:val="000000"/>
          <w:szCs w:val="20"/>
          <w:lang w:val="x-none" w:eastAsia="da-DK"/>
        </w:rPr>
        <w:t xml:space="preserve"> </w:t>
      </w:r>
      <w:proofErr w:type="spellStart"/>
      <w:r w:rsidRPr="00A87321">
        <w:rPr>
          <w:rFonts w:eastAsia="Times New Roman" w:cs="Times New Roman"/>
          <w:color w:val="000000"/>
          <w:szCs w:val="20"/>
          <w:lang w:val="x-none" w:eastAsia="da-DK"/>
        </w:rPr>
        <w:t>need</w:t>
      </w:r>
      <w:proofErr w:type="spellEnd"/>
      <w:r w:rsidRPr="00A87321">
        <w:rPr>
          <w:rFonts w:eastAsia="Times New Roman" w:cs="Times New Roman"/>
          <w:color w:val="000000"/>
          <w:szCs w:val="20"/>
          <w:lang w:val="x-none" w:eastAsia="da-DK"/>
        </w:rPr>
        <w:t xml:space="preserve"> to perform AGC </w:t>
      </w:r>
      <w:proofErr w:type="spellStart"/>
      <w:r w:rsidRPr="00A87321">
        <w:rPr>
          <w:rFonts w:eastAsia="Times New Roman" w:cs="Times New Roman"/>
          <w:color w:val="000000"/>
          <w:szCs w:val="20"/>
          <w:lang w:val="x-none" w:eastAsia="da-DK"/>
        </w:rPr>
        <w:t>setting</w:t>
      </w:r>
      <w:proofErr w:type="spellEnd"/>
    </w:p>
    <w:p w14:paraId="1DC62018" w14:textId="77777777" w:rsidR="006E799E" w:rsidRPr="00A87321" w:rsidRDefault="006E799E" w:rsidP="006E799E">
      <w:pPr>
        <w:numPr>
          <w:ilvl w:val="0"/>
          <w:numId w:val="21"/>
        </w:numPr>
        <w:spacing w:before="100" w:after="0" w:line="240" w:lineRule="auto"/>
        <w:ind w:left="1080"/>
        <w:textAlignment w:val="center"/>
        <w:rPr>
          <w:rFonts w:eastAsia="Times New Roman" w:cs="Times New Roman"/>
          <w:szCs w:val="20"/>
          <w:lang w:eastAsia="da-DK"/>
        </w:rPr>
      </w:pPr>
      <w:r w:rsidRPr="00A87321">
        <w:rPr>
          <w:rFonts w:eastAsia="Times New Roman" w:cs="Times New Roman"/>
          <w:color w:val="000000"/>
          <w:szCs w:val="20"/>
          <w:lang w:eastAsia="da-DK"/>
        </w:rPr>
        <w:t xml:space="preserve">UE behavior is FFS with respect to </w:t>
      </w:r>
      <w:proofErr w:type="spellStart"/>
      <w:proofErr w:type="gramStart"/>
      <w:r w:rsidRPr="00A87321">
        <w:rPr>
          <w:rFonts w:eastAsia="Times New Roman" w:cs="Times New Roman"/>
          <w:color w:val="000000"/>
          <w:szCs w:val="20"/>
          <w:lang w:eastAsia="da-DK"/>
        </w:rPr>
        <w:t>T</w:t>
      </w:r>
      <w:r w:rsidRPr="00A87321">
        <w:rPr>
          <w:rFonts w:eastAsia="Times New Roman" w:cs="Times New Roman"/>
          <w:color w:val="000000"/>
          <w:szCs w:val="20"/>
          <w:vertAlign w:val="subscript"/>
          <w:lang w:eastAsia="da-DK"/>
        </w:rPr>
        <w:t>DL,max</w:t>
      </w:r>
      <w:proofErr w:type="spellEnd"/>
      <w:proofErr w:type="gramEnd"/>
      <w:r w:rsidRPr="00A87321">
        <w:rPr>
          <w:rFonts w:eastAsia="Times New Roman" w:cs="Times New Roman"/>
          <w:color w:val="000000"/>
          <w:szCs w:val="20"/>
          <w:vertAlign w:val="subscript"/>
          <w:lang w:eastAsia="da-DK"/>
        </w:rPr>
        <w:t xml:space="preserve"> </w:t>
      </w:r>
      <w:r w:rsidRPr="00A87321">
        <w:rPr>
          <w:rFonts w:eastAsia="Times New Roman" w:cs="Times New Roman"/>
          <w:color w:val="000000"/>
          <w:szCs w:val="20"/>
          <w:lang w:eastAsia="da-DK"/>
        </w:rPr>
        <w:t xml:space="preserve"> and </w:t>
      </w:r>
      <w:proofErr w:type="spellStart"/>
      <w:r w:rsidRPr="00A87321">
        <w:rPr>
          <w:rFonts w:eastAsia="Times New Roman" w:cs="Times New Roman"/>
          <w:color w:val="000000"/>
          <w:szCs w:val="20"/>
          <w:lang w:eastAsia="da-DK"/>
        </w:rPr>
        <w:t>T</w:t>
      </w:r>
      <w:r w:rsidRPr="00A87321">
        <w:rPr>
          <w:rFonts w:eastAsia="Times New Roman" w:cs="Times New Roman"/>
          <w:color w:val="000000"/>
          <w:szCs w:val="20"/>
          <w:vertAlign w:val="subscript"/>
          <w:lang w:eastAsia="da-DK"/>
        </w:rPr>
        <w:t>UL,max</w:t>
      </w:r>
      <w:proofErr w:type="spellEnd"/>
    </w:p>
    <w:p w14:paraId="54CA0931" w14:textId="77777777" w:rsidR="006E799E" w:rsidRPr="00A87321" w:rsidRDefault="006E799E" w:rsidP="006E799E">
      <w:pPr>
        <w:numPr>
          <w:ilvl w:val="1"/>
          <w:numId w:val="21"/>
        </w:numPr>
        <w:spacing w:before="100" w:after="0" w:line="240" w:lineRule="auto"/>
        <w:ind w:left="1620"/>
        <w:textAlignment w:val="center"/>
        <w:rPr>
          <w:rFonts w:eastAsia="Times New Roman" w:cs="Times New Roman"/>
          <w:szCs w:val="20"/>
          <w:lang w:eastAsia="da-DK"/>
        </w:rPr>
      </w:pPr>
      <w:proofErr w:type="spellStart"/>
      <w:proofErr w:type="gramStart"/>
      <w:r w:rsidRPr="00A87321">
        <w:rPr>
          <w:rFonts w:eastAsia="Times New Roman" w:cs="Times New Roman"/>
          <w:color w:val="000000"/>
          <w:szCs w:val="20"/>
          <w:lang w:eastAsia="da-DK"/>
        </w:rPr>
        <w:t>T</w:t>
      </w:r>
      <w:r w:rsidRPr="00A87321">
        <w:rPr>
          <w:rFonts w:eastAsia="Times New Roman" w:cs="Times New Roman"/>
          <w:color w:val="000000"/>
          <w:szCs w:val="20"/>
          <w:vertAlign w:val="subscript"/>
          <w:lang w:eastAsia="da-DK"/>
        </w:rPr>
        <w:t>DL,max</w:t>
      </w:r>
      <w:proofErr w:type="spellEnd"/>
      <w:proofErr w:type="gramEnd"/>
      <w:r w:rsidRPr="00A87321">
        <w:rPr>
          <w:rFonts w:eastAsia="Times New Roman" w:cs="Times New Roman"/>
          <w:color w:val="000000"/>
          <w:szCs w:val="20"/>
          <w:vertAlign w:val="subscript"/>
          <w:lang w:eastAsia="da-DK"/>
        </w:rPr>
        <w:t xml:space="preserve"> </w:t>
      </w:r>
      <w:r w:rsidRPr="00A87321">
        <w:rPr>
          <w:rFonts w:eastAsia="Times New Roman" w:cs="Times New Roman"/>
          <w:color w:val="000000"/>
          <w:szCs w:val="20"/>
          <w:lang w:eastAsia="da-DK"/>
        </w:rPr>
        <w:t xml:space="preserve"> is the maximum allowed duration over which the DL signal/channel is unavailable at the UE (“DL signal/channel” is TBD) after the UE has completed the DL BWP switching</w:t>
      </w:r>
    </w:p>
    <w:p w14:paraId="65CF79C9" w14:textId="77777777" w:rsidR="006E799E" w:rsidRPr="00A87321" w:rsidRDefault="006E799E" w:rsidP="006E799E">
      <w:pPr>
        <w:numPr>
          <w:ilvl w:val="1"/>
          <w:numId w:val="21"/>
        </w:numPr>
        <w:spacing w:before="100" w:after="0" w:line="240" w:lineRule="auto"/>
        <w:ind w:left="1620"/>
        <w:textAlignment w:val="center"/>
        <w:rPr>
          <w:rFonts w:eastAsia="Times New Roman" w:cs="Times New Roman"/>
          <w:szCs w:val="20"/>
          <w:lang w:eastAsia="da-DK"/>
        </w:rPr>
      </w:pPr>
      <w:proofErr w:type="spellStart"/>
      <w:proofErr w:type="gramStart"/>
      <w:r w:rsidRPr="00A87321">
        <w:rPr>
          <w:rFonts w:eastAsia="Times New Roman" w:cs="Times New Roman"/>
          <w:color w:val="000000"/>
          <w:szCs w:val="20"/>
          <w:lang w:eastAsia="da-DK"/>
        </w:rPr>
        <w:t>T</w:t>
      </w:r>
      <w:r w:rsidRPr="00A87321">
        <w:rPr>
          <w:rFonts w:eastAsia="Times New Roman" w:cs="Times New Roman"/>
          <w:color w:val="000000"/>
          <w:szCs w:val="20"/>
          <w:vertAlign w:val="subscript"/>
          <w:lang w:eastAsia="da-DK"/>
        </w:rPr>
        <w:t>UL,max</w:t>
      </w:r>
      <w:proofErr w:type="spellEnd"/>
      <w:proofErr w:type="gramEnd"/>
      <w:r w:rsidRPr="00A87321">
        <w:rPr>
          <w:rFonts w:eastAsia="Times New Roman" w:cs="Times New Roman"/>
          <w:color w:val="000000"/>
          <w:szCs w:val="20"/>
          <w:lang w:eastAsia="da-DK"/>
        </w:rPr>
        <w:t xml:space="preserve"> is the maximum allowed duration over which the UE was not able to transmit the UL signal/channel due to UL LBT (“UL signal/channel” is TBD) after the UE has completed the UL BWP switching</w:t>
      </w:r>
    </w:p>
    <w:p w14:paraId="0C4586B5" w14:textId="77777777" w:rsidR="006E799E" w:rsidRPr="006E799E" w:rsidRDefault="006E799E" w:rsidP="006E799E">
      <w:pPr>
        <w:ind w:left="900" w:right="-22"/>
        <w:rPr>
          <w:rFonts w:eastAsia="Calibri" w:cs="Times New Roman"/>
          <w:b/>
          <w:szCs w:val="20"/>
        </w:rPr>
      </w:pPr>
    </w:p>
    <w:p w14:paraId="19E695EA" w14:textId="0D32F736" w:rsidR="00030886" w:rsidRDefault="006E799E" w:rsidP="00841BCD">
      <w:pPr>
        <w:ind w:right="-22"/>
        <w:rPr>
          <w:rFonts w:eastAsia="Calibri" w:cs="Times New Roman"/>
          <w:szCs w:val="20"/>
          <w:lang w:val="en-GB"/>
        </w:rPr>
      </w:pPr>
      <w:r>
        <w:rPr>
          <w:rFonts w:eastAsia="Calibri" w:cs="Times New Roman"/>
          <w:szCs w:val="20"/>
          <w:lang w:val="en-GB"/>
        </w:rPr>
        <w:t>In this document, we discuss</w:t>
      </w:r>
      <w:r w:rsidR="00B2359B">
        <w:rPr>
          <w:rFonts w:eastAsia="Calibri" w:cs="Times New Roman"/>
          <w:szCs w:val="20"/>
          <w:lang w:val="en-GB"/>
        </w:rPr>
        <w:t xml:space="preserve"> the active BWP switch delay and</w:t>
      </w:r>
      <w:r>
        <w:rPr>
          <w:rFonts w:eastAsia="Calibri" w:cs="Times New Roman"/>
          <w:szCs w:val="20"/>
          <w:lang w:val="en-GB"/>
        </w:rPr>
        <w:t xml:space="preserve"> the UE behaviour under DL or UL LBT failure in the new active BWP.</w:t>
      </w:r>
    </w:p>
    <w:p w14:paraId="5902AA26" w14:textId="2ABA11DC" w:rsidR="00712297" w:rsidRDefault="003B659E" w:rsidP="003B53FB">
      <w:pPr>
        <w:pStyle w:val="RAN4H1"/>
      </w:pPr>
      <w:r>
        <w:t>2</w:t>
      </w:r>
      <w:r w:rsidRPr="00841BCD">
        <w:tab/>
      </w:r>
      <w:r>
        <w:t>Discussio</w:t>
      </w:r>
      <w:r w:rsidR="003B53FB">
        <w:t>n</w:t>
      </w:r>
    </w:p>
    <w:p w14:paraId="618603CD" w14:textId="76AFD4F9" w:rsidR="003B53FB" w:rsidRDefault="00EA2642" w:rsidP="003B53FB">
      <w:pPr>
        <w:ind w:right="-22"/>
        <w:rPr>
          <w:rFonts w:eastAsia="Calibri" w:cs="Times New Roman"/>
          <w:szCs w:val="20"/>
          <w:lang w:val="en-GB"/>
        </w:rPr>
      </w:pPr>
      <w:r w:rsidRPr="003B53FB">
        <w:rPr>
          <w:rFonts w:eastAsia="Calibri" w:cs="Times New Roman"/>
          <w:szCs w:val="20"/>
          <w:lang w:val="en-GB"/>
        </w:rPr>
        <w:t xml:space="preserve">In meetings RAN4 92 and 92 bis, RAN4 </w:t>
      </w:r>
      <w:r w:rsidR="003B53FB" w:rsidRPr="003B53FB">
        <w:rPr>
          <w:rFonts w:eastAsia="Calibri" w:cs="Times New Roman"/>
          <w:szCs w:val="20"/>
          <w:lang w:val="en-GB"/>
        </w:rPr>
        <w:t>has agreed on the active BWP switch delay</w:t>
      </w:r>
      <w:r w:rsidR="003B53FB">
        <w:rPr>
          <w:rFonts w:eastAsia="Calibri" w:cs="Times New Roman"/>
          <w:szCs w:val="20"/>
          <w:lang w:val="en-GB"/>
        </w:rPr>
        <w:t xml:space="preserve"> for NR-U</w:t>
      </w:r>
      <w:r w:rsidR="003B53FB" w:rsidRPr="003B53FB">
        <w:rPr>
          <w:rFonts w:eastAsia="Calibri" w:cs="Times New Roman"/>
          <w:szCs w:val="20"/>
          <w:lang w:val="en-GB"/>
        </w:rPr>
        <w:t xml:space="preserve"> and in studying the UE behavior in the new active BWP</w:t>
      </w:r>
      <w:r w:rsidR="003B53FB">
        <w:rPr>
          <w:rFonts w:eastAsia="Calibri" w:cs="Times New Roman"/>
          <w:szCs w:val="20"/>
          <w:lang w:val="en-GB"/>
        </w:rPr>
        <w:t>, when the DL or UL transmissions in the new active BWP are blocked by LBT failure.</w:t>
      </w:r>
    </w:p>
    <w:p w14:paraId="08230810" w14:textId="635E7A9E" w:rsidR="004023D8" w:rsidRDefault="003B53FB" w:rsidP="00F52051">
      <w:pPr>
        <w:pStyle w:val="RAN4observation0"/>
        <w:numPr>
          <w:ilvl w:val="0"/>
          <w:numId w:val="0"/>
        </w:numPr>
        <w:jc w:val="both"/>
        <w:rPr>
          <w:lang w:eastAsia="ko-KR"/>
        </w:rPr>
      </w:pPr>
      <w:r>
        <w:t xml:space="preserve">Before discussing the UE behaviour under such conditions, it is relevant to take a look in the NR Rel-15 requirements for active BWP switch, which were already agreed to be used as baseline for the NR-U active BWP switch requirements. </w:t>
      </w:r>
      <w:r w:rsidR="00D25C01">
        <w:t>The requirements in TS 38.133 are related to the delays in which the UE shall complete the switch of active DL and or UL BWP</w:t>
      </w:r>
      <w:r w:rsidR="004023D8">
        <w:t xml:space="preserve">. </w:t>
      </w:r>
      <w:r w:rsidR="004023D8">
        <w:rPr>
          <w:lang w:eastAsia="ko-KR"/>
        </w:rPr>
        <w:t>In TS 38.133 the</w:t>
      </w:r>
      <w:r w:rsidR="004023D8" w:rsidRPr="00680EAD">
        <w:rPr>
          <w:lang w:eastAsia="ko-KR"/>
        </w:rPr>
        <w:t xml:space="preserve"> delay is defined from the moment that the UE receives the command, or the timer expires, until the moment that the UE </w:t>
      </w:r>
      <w:r w:rsidR="004023D8" w:rsidRPr="001D5370">
        <w:rPr>
          <w:u w:val="single"/>
          <w:lang w:eastAsia="ko-KR"/>
        </w:rPr>
        <w:t>is able to</w:t>
      </w:r>
      <w:r w:rsidR="004023D8" w:rsidRPr="00DB14F1">
        <w:rPr>
          <w:lang w:eastAsia="ko-KR"/>
        </w:rPr>
        <w:t xml:space="preserve"> receive PDSCH or transmit PUSCH</w:t>
      </w:r>
      <w:r w:rsidR="004023D8" w:rsidRPr="00680EAD">
        <w:rPr>
          <w:lang w:eastAsia="ko-KR"/>
        </w:rPr>
        <w:t xml:space="preserve"> on the new </w:t>
      </w:r>
      <w:r w:rsidR="004023D8">
        <w:rPr>
          <w:lang w:eastAsia="ko-KR"/>
        </w:rPr>
        <w:t xml:space="preserve">active </w:t>
      </w:r>
      <w:r w:rsidR="004023D8" w:rsidRPr="00680EAD">
        <w:rPr>
          <w:lang w:eastAsia="ko-KR"/>
        </w:rPr>
        <w:t>BWP.</w:t>
      </w:r>
      <w:r w:rsidR="004023D8">
        <w:rPr>
          <w:lang w:eastAsia="ko-KR"/>
        </w:rPr>
        <w:t xml:space="preserve"> Note that the delay requirement</w:t>
      </w:r>
      <w:r w:rsidR="00630A9C">
        <w:rPr>
          <w:lang w:eastAsia="ko-KR"/>
        </w:rPr>
        <w:t>, for DCI or timer based active BWP switch,</w:t>
      </w:r>
      <w:r w:rsidR="004023D8">
        <w:rPr>
          <w:lang w:eastAsia="ko-KR"/>
        </w:rPr>
        <w:t xml:space="preserve"> is not defined based on any</w:t>
      </w:r>
      <w:r w:rsidR="0067201A">
        <w:rPr>
          <w:lang w:eastAsia="ko-KR"/>
        </w:rPr>
        <w:t xml:space="preserve"> UE</w:t>
      </w:r>
      <w:r w:rsidR="004023D8">
        <w:rPr>
          <w:lang w:eastAsia="ko-KR"/>
        </w:rPr>
        <w:t xml:space="preserve"> feedback. Therefore, it is independent of the DL or UL LBT failure.</w:t>
      </w:r>
      <w:r w:rsidR="00BD5C24">
        <w:rPr>
          <w:lang w:eastAsia="ko-KR"/>
        </w:rPr>
        <w:t xml:space="preserve"> In R15 NR, </w:t>
      </w:r>
      <w:r w:rsidR="00E65391">
        <w:rPr>
          <w:lang w:eastAsia="ko-KR"/>
        </w:rPr>
        <w:t xml:space="preserve">a </w:t>
      </w:r>
      <w:r w:rsidR="00BD5C24">
        <w:rPr>
          <w:lang w:eastAsia="ko-KR"/>
        </w:rPr>
        <w:t>DCI switching BWP is acknowledged by HARQ-ACK feedback for scheduled PDSCH or by transmi</w:t>
      </w:r>
      <w:r w:rsidR="00E65391">
        <w:rPr>
          <w:lang w:eastAsia="ko-KR"/>
        </w:rPr>
        <w:t>ssion of scheduled</w:t>
      </w:r>
      <w:r w:rsidR="00BD5C24">
        <w:rPr>
          <w:lang w:eastAsia="ko-KR"/>
        </w:rPr>
        <w:t xml:space="preserve"> PUSCH. However, the</w:t>
      </w:r>
      <w:r w:rsidR="00E65391">
        <w:rPr>
          <w:lang w:eastAsia="ko-KR"/>
        </w:rPr>
        <w:t xml:space="preserve"> R15</w:t>
      </w:r>
      <w:r w:rsidR="00BD5C24">
        <w:rPr>
          <w:lang w:eastAsia="ko-KR"/>
        </w:rPr>
        <w:t xml:space="preserve"> BWP switching delays are smaller than maximum allowed COT duration, and ACKs can be scheduled</w:t>
      </w:r>
      <w:r w:rsidR="00585CA5">
        <w:rPr>
          <w:lang w:eastAsia="ko-KR"/>
        </w:rPr>
        <w:t xml:space="preserve"> reliably</w:t>
      </w:r>
      <w:r w:rsidR="00BD5C24">
        <w:rPr>
          <w:lang w:eastAsia="ko-KR"/>
        </w:rPr>
        <w:t xml:space="preserve"> in shared COT with </w:t>
      </w:r>
      <w:r w:rsidR="00D2655D">
        <w:rPr>
          <w:lang w:eastAsia="ko-KR"/>
        </w:rPr>
        <w:t xml:space="preserve">LBT </w:t>
      </w:r>
      <w:r w:rsidR="00BD5C24">
        <w:rPr>
          <w:lang w:eastAsia="ko-KR"/>
        </w:rPr>
        <w:t xml:space="preserve">CAT1 or </w:t>
      </w:r>
      <w:r w:rsidR="00D2655D">
        <w:rPr>
          <w:lang w:eastAsia="ko-KR"/>
        </w:rPr>
        <w:t xml:space="preserve">LBT </w:t>
      </w:r>
      <w:r w:rsidR="00BD5C24">
        <w:rPr>
          <w:lang w:eastAsia="ko-KR"/>
        </w:rPr>
        <w:t xml:space="preserve">CAT2. </w:t>
      </w:r>
    </w:p>
    <w:p w14:paraId="69C22571" w14:textId="53BB15BC" w:rsidR="00BD5C24" w:rsidRDefault="00BD5C24" w:rsidP="00A36FD5">
      <w:pPr>
        <w:pStyle w:val="RAN4observation0"/>
        <w:rPr>
          <w:lang w:eastAsia="ko-KR"/>
        </w:rPr>
      </w:pPr>
      <w:r>
        <w:rPr>
          <w:lang w:eastAsia="ko-KR"/>
        </w:rPr>
        <w:lastRenderedPageBreak/>
        <w:t xml:space="preserve">DCI-based and timer-based BWP switching delay is not dependent on UE’s acknowledgement. </w:t>
      </w:r>
    </w:p>
    <w:p w14:paraId="693D3A1A" w14:textId="1613E8F8" w:rsidR="00BD5C24" w:rsidRDefault="00BD5C24" w:rsidP="00A36FD5">
      <w:pPr>
        <w:pStyle w:val="RAN4observation0"/>
        <w:rPr>
          <w:lang w:eastAsia="ko-KR"/>
        </w:rPr>
      </w:pPr>
      <w:r>
        <w:rPr>
          <w:lang w:eastAsia="ko-KR"/>
        </w:rPr>
        <w:t xml:space="preserve">Acknowledgment for BWP switching DCI may be received reliably within </w:t>
      </w:r>
      <w:proofErr w:type="spellStart"/>
      <w:r>
        <w:rPr>
          <w:lang w:eastAsia="ko-KR"/>
        </w:rPr>
        <w:t>gNBs</w:t>
      </w:r>
      <w:proofErr w:type="spellEnd"/>
      <w:r>
        <w:rPr>
          <w:lang w:eastAsia="ko-KR"/>
        </w:rPr>
        <w:t xml:space="preserve"> shared COT</w:t>
      </w:r>
    </w:p>
    <w:p w14:paraId="0816E393" w14:textId="77777777" w:rsidR="00630A9C" w:rsidRPr="00A87321" w:rsidRDefault="00630A9C" w:rsidP="00630A9C">
      <w:pPr>
        <w:rPr>
          <w:color w:val="000000" w:themeColor="text1"/>
        </w:rPr>
      </w:pPr>
      <w:r w:rsidRPr="00A87321">
        <w:rPr>
          <w:color w:val="000000" w:themeColor="text1"/>
        </w:rPr>
        <w:t xml:space="preserve">For RRC based BWP switch delay, TS 38.133 defines the BWP switching delay as the time between the UE receives the BWP switch request, until the time in which the </w:t>
      </w:r>
      <w:r w:rsidRPr="00A87321">
        <w:rPr>
          <w:color w:val="000000" w:themeColor="text1"/>
          <w:u w:val="single"/>
        </w:rPr>
        <w:t>UE shall be able</w:t>
      </w:r>
      <w:r w:rsidRPr="00A87321">
        <w:rPr>
          <w:color w:val="000000" w:themeColor="text1"/>
        </w:rPr>
        <w:t xml:space="preserve"> to receive PDSCH/PDCCH or transmit PUSCH on the new BWP. The requirement is:</w:t>
      </w:r>
    </w:p>
    <w:p w14:paraId="712539F8" w14:textId="77777777" w:rsidR="00630A9C" w:rsidRPr="00A87321" w:rsidRDefault="00630A9C" w:rsidP="00630A9C">
      <w:pPr>
        <w:rPr>
          <w:i/>
          <w:color w:val="000000" w:themeColor="text1"/>
          <w:lang w:eastAsia="zh-CN"/>
        </w:rPr>
      </w:pPr>
      <w:r w:rsidRPr="00A87321">
        <w:rPr>
          <w:i/>
          <w:color w:val="000000" w:themeColor="text1"/>
        </w:rPr>
        <w:t xml:space="preserve">DL </w:t>
      </w:r>
      <w:r w:rsidRPr="00A87321">
        <w:rPr>
          <w:i/>
          <w:color w:val="000000" w:themeColor="text1"/>
          <w:lang w:eastAsia="zh-CN"/>
        </w:rPr>
        <w:t xml:space="preserve">slot </w:t>
      </w:r>
      <m:oMath>
        <m:r>
          <w:rPr>
            <w:rFonts w:ascii="Cambria Math" w:hAnsi="Cambria Math"/>
            <w:color w:val="000000" w:themeColor="text1"/>
            <w:lang w:eastAsia="zh-CN"/>
          </w:rPr>
          <m:t>n+</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BWPswitchDelayRRC</m:t>
                </m:r>
              </m:sub>
            </m:sSub>
          </m:num>
          <m:den>
            <m:r>
              <w:rPr>
                <w:rFonts w:ascii="Cambria Math" w:hAnsi="Cambria Math"/>
                <w:color w:val="000000" w:themeColor="text1"/>
                <w:lang w:eastAsia="zh-CN"/>
              </w:rPr>
              <m:t>NR Slot length</m:t>
            </m:r>
          </m:den>
        </m:f>
      </m:oMath>
      <w:r w:rsidRPr="00A87321">
        <w:rPr>
          <w:i/>
          <w:color w:val="000000" w:themeColor="text1"/>
          <w:lang w:eastAsia="zh-CN"/>
        </w:rPr>
        <w:t xml:space="preserve">, where </w:t>
      </w:r>
    </w:p>
    <w:p w14:paraId="3C2DDF70" w14:textId="77777777" w:rsidR="00630A9C" w:rsidRPr="00A87321" w:rsidRDefault="00630A9C" w:rsidP="00630A9C">
      <w:pPr>
        <w:ind w:left="284"/>
        <w:rPr>
          <w:i/>
          <w:color w:val="000000" w:themeColor="text1"/>
          <w:lang w:eastAsia="zh-CN"/>
        </w:rPr>
      </w:pPr>
      <w:r w:rsidRPr="00A87321">
        <w:rPr>
          <w:i/>
          <w:color w:val="000000" w:themeColor="text1"/>
          <w:lang w:eastAsia="zh-CN"/>
        </w:rPr>
        <w:t xml:space="preserve">DL slot n is the last slot containing the RRC command, and </w:t>
      </w:r>
    </w:p>
    <w:p w14:paraId="46E19C16" w14:textId="77777777" w:rsidR="00630A9C" w:rsidRPr="00A87321" w:rsidRDefault="0024764D" w:rsidP="00630A9C">
      <w:pPr>
        <w:ind w:left="284"/>
        <w:rPr>
          <w:i/>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oMath>
      <w:r w:rsidR="00630A9C" w:rsidRPr="00A87321">
        <w:rPr>
          <w:i/>
          <w:color w:val="000000" w:themeColor="text1"/>
          <w:vertAlign w:val="subscript"/>
          <w:lang w:eastAsia="zh-CN"/>
        </w:rPr>
        <w:t xml:space="preserve"> </w:t>
      </w:r>
      <w:r w:rsidR="00630A9C" w:rsidRPr="00A87321">
        <w:rPr>
          <w:i/>
          <w:color w:val="000000" w:themeColor="text1"/>
          <w:lang w:eastAsia="zh-CN"/>
        </w:rPr>
        <w:t xml:space="preserve">is the length of the RRC procedure delay in millisecond as defined in clause 12 in TS 38.331 [2], </w:t>
      </w:r>
      <w:proofErr w:type="gramStart"/>
      <w:r w:rsidR="00630A9C" w:rsidRPr="00A87321">
        <w:rPr>
          <w:i/>
          <w:color w:val="000000" w:themeColor="text1"/>
          <w:lang w:eastAsia="zh-CN"/>
        </w:rPr>
        <w:t>and</w:t>
      </w:r>
      <w:proofErr w:type="gramEnd"/>
    </w:p>
    <w:p w14:paraId="582DCE02" w14:textId="77777777" w:rsidR="00630A9C" w:rsidRPr="00A87321" w:rsidRDefault="0024764D" w:rsidP="00630A9C">
      <w:pPr>
        <w:ind w:left="284"/>
        <w:rPr>
          <w:i/>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BWPswitchDelayRRC</m:t>
            </m:r>
          </m:sub>
        </m:sSub>
        <m:r>
          <w:rPr>
            <w:rFonts w:ascii="Cambria Math" w:hAnsi="Cambria Math"/>
            <w:color w:val="000000" w:themeColor="text1"/>
            <w:lang w:eastAsia="zh-CN"/>
          </w:rPr>
          <m:t>=[6]ms</m:t>
        </m:r>
      </m:oMath>
      <w:r w:rsidR="00630A9C" w:rsidRPr="00A87321">
        <w:rPr>
          <w:i/>
          <w:color w:val="000000" w:themeColor="text1"/>
          <w:lang w:eastAsia="zh-CN"/>
        </w:rPr>
        <w:t xml:space="preserve"> is the time used by the UE to perform BWP </w:t>
      </w:r>
      <w:proofErr w:type="gramStart"/>
      <w:r w:rsidR="00630A9C" w:rsidRPr="00A87321">
        <w:rPr>
          <w:i/>
          <w:color w:val="000000" w:themeColor="text1"/>
          <w:lang w:eastAsia="zh-CN"/>
        </w:rPr>
        <w:t>switch.</w:t>
      </w:r>
      <w:proofErr w:type="gramEnd"/>
    </w:p>
    <w:p w14:paraId="704510A5" w14:textId="5614DC21" w:rsidR="00630A9C" w:rsidRPr="00A87321" w:rsidRDefault="00630A9C" w:rsidP="00630A9C">
      <w:pPr>
        <w:rPr>
          <w:rFonts w:eastAsiaTheme="minorEastAsia"/>
          <w:color w:val="000000" w:themeColor="text1"/>
          <w:lang w:eastAsia="zh-CN"/>
        </w:rPr>
      </w:pPr>
      <w:r w:rsidRPr="00A87321">
        <w:rPr>
          <w:color w:val="000000" w:themeColor="text1"/>
        </w:rPr>
        <w:t xml:space="preserve">In TS 38.331, the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oMath>
      <w:r w:rsidRPr="00A87321">
        <w:rPr>
          <w:rFonts w:eastAsiaTheme="minorEastAsia"/>
          <w:color w:val="000000" w:themeColor="text1"/>
          <w:lang w:eastAsia="zh-CN"/>
        </w:rPr>
        <w:t xml:space="preserve"> is defined as: </w:t>
      </w:r>
      <w:r w:rsidRPr="00A87321">
        <w:rPr>
          <w:i/>
          <w:color w:val="000000" w:themeColor="text1"/>
        </w:rPr>
        <w:t>the time in [</w:t>
      </w:r>
      <w:proofErr w:type="spellStart"/>
      <w:r w:rsidRPr="00A87321">
        <w:rPr>
          <w:i/>
          <w:color w:val="000000" w:themeColor="text1"/>
        </w:rPr>
        <w:t>ms</w:t>
      </w:r>
      <w:proofErr w:type="spellEnd"/>
      <w:r w:rsidRPr="00A87321">
        <w:rPr>
          <w:i/>
          <w:color w:val="000000" w:themeColor="text1"/>
        </w:rPr>
        <w:t xml:space="preserve">] from the end of reception of the network -&gt; UE message on the UE physical layer up to when </w:t>
      </w:r>
      <w:r w:rsidRPr="00A87321">
        <w:rPr>
          <w:i/>
          <w:color w:val="000000" w:themeColor="text1"/>
          <w:u w:val="single"/>
        </w:rPr>
        <w:t>the UE shall be ready</w:t>
      </w:r>
      <w:r w:rsidRPr="00A87321">
        <w:rPr>
          <w:i/>
          <w:color w:val="000000" w:themeColor="text1"/>
        </w:rPr>
        <w:t xml:space="preserve"> for the reception of uplink grant for the UE -&gt; network response message with no access delay other than the TTI-alignment </w:t>
      </w:r>
      <w:r w:rsidRPr="00260E5B">
        <w:rPr>
          <w:i/>
          <w:color w:val="000000" w:themeColor="text1"/>
          <w:u w:val="single"/>
        </w:rPr>
        <w:t xml:space="preserve">(e.g. excluding delays caused by scheduling, the random access procedure or physical layer </w:t>
      </w:r>
      <w:proofErr w:type="spellStart"/>
      <w:r w:rsidRPr="00260E5B">
        <w:rPr>
          <w:i/>
          <w:color w:val="000000" w:themeColor="text1"/>
          <w:u w:val="single"/>
        </w:rPr>
        <w:t>synchronisation</w:t>
      </w:r>
      <w:proofErr w:type="spellEnd"/>
      <w:r w:rsidRPr="00260E5B">
        <w:rPr>
          <w:i/>
          <w:color w:val="000000" w:themeColor="text1"/>
          <w:u w:val="single"/>
        </w:rPr>
        <w:t>)</w:t>
      </w:r>
      <w:r w:rsidRPr="00260E5B">
        <w:rPr>
          <w:color w:val="000000" w:themeColor="text1"/>
          <w:u w:val="single"/>
        </w:rPr>
        <w:t xml:space="preserve">. </w:t>
      </w:r>
    </w:p>
    <w:p w14:paraId="0D8399D8" w14:textId="3881F043" w:rsidR="00F47167" w:rsidRDefault="003F1B52" w:rsidP="0050308B">
      <w:pPr>
        <w:pStyle w:val="RAN4observation0"/>
      </w:pPr>
      <w:r>
        <w:t xml:space="preserve">The </w:t>
      </w:r>
      <w:r w:rsidR="00F47167">
        <w:t xml:space="preserve">active BWP switch </w:t>
      </w:r>
      <w:r w:rsidR="00630A9C">
        <w:t xml:space="preserve">delay </w:t>
      </w:r>
      <w:r>
        <w:t>defined in TS 38.133</w:t>
      </w:r>
      <w:r w:rsidR="00630A9C">
        <w:t>, either based on DCI, timer or RRC,</w:t>
      </w:r>
      <w:r>
        <w:t xml:space="preserve"> </w:t>
      </w:r>
      <w:r w:rsidR="00DB14F1">
        <w:t>accounts</w:t>
      </w:r>
      <w:r w:rsidR="0067201A">
        <w:t xml:space="preserve"> the delay between the command is received or the timer expires, until </w:t>
      </w:r>
      <w:r w:rsidR="00DB14F1">
        <w:t xml:space="preserve">the time </w:t>
      </w:r>
      <w:r w:rsidR="0067201A">
        <w:t>in which</w:t>
      </w:r>
      <w:r w:rsidR="00DB14F1">
        <w:t xml:space="preserve"> the UE shall be ready to receive or transmit in the new active BWP, rather than the moment in which the channel is available at the new BWP</w:t>
      </w:r>
      <w:r w:rsidR="00A87321">
        <w:t xml:space="preserve"> for transmission or reception</w:t>
      </w:r>
      <w:r w:rsidR="00DB14F1">
        <w:t>.</w:t>
      </w:r>
    </w:p>
    <w:p w14:paraId="35608FA6" w14:textId="14DD2FD6" w:rsidR="00260E5B" w:rsidRDefault="00260E5B" w:rsidP="00260E5B">
      <w:pPr>
        <w:pStyle w:val="RAN4observation0"/>
        <w:rPr>
          <w:lang w:eastAsia="ko-KR"/>
        </w:rPr>
      </w:pPr>
      <w:r>
        <w:rPr>
          <w:lang w:eastAsia="ko-KR"/>
        </w:rPr>
        <w:t xml:space="preserve">For RRC based active BWP switch delay, the NR Rel-15 RRC processing delay excludes delays caused by scheduling, random access procedure or physical layer synchronization in </w:t>
      </w:r>
      <w:r w:rsidR="00BD5C24">
        <w:rPr>
          <w:lang w:eastAsia="ko-KR"/>
        </w:rPr>
        <w:t xml:space="preserve">R15 </w:t>
      </w:r>
      <w:r>
        <w:rPr>
          <w:lang w:eastAsia="ko-KR"/>
        </w:rPr>
        <w:t xml:space="preserve">NR. </w:t>
      </w:r>
    </w:p>
    <w:p w14:paraId="7A9AF4DE" w14:textId="6284AD15" w:rsidR="00A36FD5" w:rsidRDefault="00F47167" w:rsidP="00F47167">
      <w:pPr>
        <w:rPr>
          <w:lang w:val="en-GB" w:eastAsia="ko-KR"/>
        </w:rPr>
      </w:pPr>
      <w:r>
        <w:rPr>
          <w:lang w:val="en-GB" w:eastAsia="ko-KR"/>
        </w:rPr>
        <w:t>In the new active BWP</w:t>
      </w:r>
      <w:r w:rsidR="00260E5B">
        <w:rPr>
          <w:lang w:val="en-GB" w:eastAsia="ko-KR"/>
        </w:rPr>
        <w:t xml:space="preserve">, </w:t>
      </w:r>
      <w:r>
        <w:rPr>
          <w:lang w:val="en-GB" w:eastAsia="ko-KR"/>
        </w:rPr>
        <w:t xml:space="preserve">there is indeed a possibility of DL or UL LBT failures after the active BWP switch, but this is not related to the definition of the switching delay. </w:t>
      </w:r>
    </w:p>
    <w:p w14:paraId="25B0DC7D" w14:textId="6E1E74CF" w:rsidR="00A36FD5" w:rsidRPr="00260E5B" w:rsidRDefault="00A36FD5" w:rsidP="00A36FD5">
      <w:pPr>
        <w:pStyle w:val="RAN4observation0"/>
        <w:rPr>
          <w:lang w:eastAsia="ko-KR"/>
        </w:rPr>
      </w:pPr>
      <w:r w:rsidRPr="00260E5B">
        <w:rPr>
          <w:lang w:eastAsia="ko-KR"/>
        </w:rPr>
        <w:t>The reception of PDSCH or transmission of PUSCH in the new BWP are not part of the active BWP switch delay defined in TS 38.133.</w:t>
      </w:r>
    </w:p>
    <w:p w14:paraId="0D077A5C" w14:textId="3355F4E1" w:rsidR="00A36FD5" w:rsidRPr="0064354B" w:rsidRDefault="00A36FD5" w:rsidP="00A36FD5">
      <w:pPr>
        <w:pStyle w:val="RAN4proposal"/>
        <w:rPr>
          <w:lang w:eastAsia="ko-KR"/>
        </w:rPr>
      </w:pPr>
      <w:r w:rsidRPr="00260E5B">
        <w:rPr>
          <w:lang w:eastAsia="ko-KR"/>
        </w:rPr>
        <w:t xml:space="preserve">The </w:t>
      </w:r>
      <w:r>
        <w:rPr>
          <w:lang w:eastAsia="ko-KR"/>
        </w:rPr>
        <w:t>extra time introduced by</w:t>
      </w:r>
      <w:r w:rsidRPr="00260E5B">
        <w:rPr>
          <w:lang w:eastAsia="ko-KR"/>
        </w:rPr>
        <w:t xml:space="preserve"> DL or UL LBT</w:t>
      </w:r>
      <w:r>
        <w:rPr>
          <w:lang w:eastAsia="ko-KR"/>
        </w:rPr>
        <w:t xml:space="preserve"> failures</w:t>
      </w:r>
      <w:r w:rsidRPr="00260E5B">
        <w:rPr>
          <w:lang w:eastAsia="ko-KR"/>
        </w:rPr>
        <w:t xml:space="preserve"> in the new active BWP shall not be included in the </w:t>
      </w:r>
      <w:r w:rsidRPr="0064354B">
        <w:rPr>
          <w:lang w:eastAsia="ko-KR"/>
        </w:rPr>
        <w:t xml:space="preserve">active BWP switch delay. </w:t>
      </w:r>
    </w:p>
    <w:p w14:paraId="711134A2" w14:textId="1C1F3D81" w:rsidR="00F47167" w:rsidRDefault="00A36FD5" w:rsidP="00F47167">
      <w:pPr>
        <w:rPr>
          <w:lang w:val="en-GB" w:eastAsia="ko-KR"/>
        </w:rPr>
      </w:pPr>
      <w:r w:rsidRPr="0064354B">
        <w:rPr>
          <w:noProof/>
          <w:lang w:val="en-GB" w:eastAsia="ko-KR"/>
        </w:rPr>
        <mc:AlternateContent>
          <mc:Choice Requires="wps">
            <w:drawing>
              <wp:anchor distT="45720" distB="45720" distL="114300" distR="114300" simplePos="0" relativeHeight="251659264" behindDoc="0" locked="0" layoutInCell="1" allowOverlap="1" wp14:anchorId="3C1D1759" wp14:editId="139AB6D4">
                <wp:simplePos x="0" y="0"/>
                <wp:positionH relativeFrom="margin">
                  <wp:posOffset>152400</wp:posOffset>
                </wp:positionH>
                <wp:positionV relativeFrom="paragraph">
                  <wp:posOffset>704215</wp:posOffset>
                </wp:positionV>
                <wp:extent cx="5638800" cy="140462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3F3F1D84" w14:textId="77777777" w:rsidR="00F47167" w:rsidRPr="00244F7F" w:rsidRDefault="00F47167" w:rsidP="00F47167">
                            <w:pPr>
                              <w:pStyle w:val="NormalWeb"/>
                              <w:spacing w:before="0" w:beforeAutospacing="0" w:after="0" w:afterAutospacing="0"/>
                              <w:ind w:left="540"/>
                              <w:rPr>
                                <w:rFonts w:ascii="Arial" w:hAnsi="Arial" w:cs="Arial"/>
                                <w:sz w:val="20"/>
                                <w:szCs w:val="20"/>
                                <w:lang w:val="en-US"/>
                              </w:rPr>
                            </w:pPr>
                            <w:r w:rsidRPr="00244F7F">
                              <w:rPr>
                                <w:rFonts w:ascii="Arial" w:hAnsi="Arial" w:cs="Arial"/>
                                <w:b/>
                                <w:bCs/>
                                <w:sz w:val="20"/>
                                <w:szCs w:val="20"/>
                                <w:lang w:val="en-US"/>
                              </w:rPr>
                              <w:t>Agreements:</w:t>
                            </w:r>
                          </w:p>
                          <w:p w14:paraId="735C2685" w14:textId="77777777" w:rsidR="00F47167" w:rsidRPr="00244F7F" w:rsidRDefault="00F47167" w:rsidP="00F47167">
                            <w:pPr>
                              <w:pStyle w:val="ListParagraph"/>
                              <w:numPr>
                                <w:ilvl w:val="0"/>
                                <w:numId w:val="26"/>
                              </w:numPr>
                              <w:rPr>
                                <w:lang w:val="en-GB" w:eastAsia="ko-KR"/>
                              </w:rPr>
                            </w:pPr>
                            <w:r w:rsidRPr="00244F7F">
                              <w:rPr>
                                <w:lang w:val="en-GB" w:eastAsia="ko-KR"/>
                              </w:rPr>
                              <w:t xml:space="preserve">MAC relies on reception of a notification of UL LBT failure from the physical layer to detect a consistent UL LBT failure.  </w:t>
                            </w:r>
                          </w:p>
                          <w:p w14:paraId="313EA6CA" w14:textId="77777777" w:rsidR="00F47167" w:rsidRPr="00917FC4" w:rsidRDefault="00F47167" w:rsidP="00F47167">
                            <w:pPr>
                              <w:pStyle w:val="ListParagraph"/>
                              <w:numPr>
                                <w:ilvl w:val="0"/>
                                <w:numId w:val="26"/>
                              </w:numPr>
                              <w:rPr>
                                <w:lang w:val="en-GB" w:eastAsia="ko-KR"/>
                              </w:rPr>
                            </w:pPr>
                            <w:r w:rsidRPr="00244F7F">
                              <w:rPr>
                                <w:lang w:val="en-GB" w:eastAsia="ko-KR"/>
                              </w:rPr>
                              <w:t>The UE switches to another BWP</w:t>
                            </w:r>
                            <w:r w:rsidRPr="00917FC4">
                              <w:rPr>
                                <w:lang w:val="en-GB" w:eastAsia="ko-KR"/>
                              </w:rPr>
                              <w:t xml:space="preserve"> and initiates RACH upon declaration of consistent LBT failure on </w:t>
                            </w:r>
                            <w:proofErr w:type="spellStart"/>
                            <w:r w:rsidRPr="00917FC4">
                              <w:rPr>
                                <w:lang w:val="en-GB" w:eastAsia="ko-KR"/>
                              </w:rPr>
                              <w:t>PCell</w:t>
                            </w:r>
                            <w:proofErr w:type="spellEnd"/>
                            <w:r w:rsidRPr="00917FC4">
                              <w:rPr>
                                <w:lang w:val="en-GB" w:eastAsia="ko-KR"/>
                              </w:rPr>
                              <w:t xml:space="preserve"> or </w:t>
                            </w:r>
                            <w:proofErr w:type="spellStart"/>
                            <w:r w:rsidRPr="00917FC4">
                              <w:rPr>
                                <w:lang w:val="en-GB" w:eastAsia="ko-KR"/>
                              </w:rPr>
                              <w:t>PSCell</w:t>
                            </w:r>
                            <w:proofErr w:type="spellEnd"/>
                            <w:r w:rsidRPr="00917FC4">
                              <w:rPr>
                                <w:lang w:val="en-GB" w:eastAsia="ko-KR"/>
                              </w:rPr>
                              <w:t xml:space="preserve"> if there is another BWP with configured RACH resources.    </w:t>
                            </w:r>
                          </w:p>
                          <w:p w14:paraId="4B917191" w14:textId="77777777" w:rsidR="00F47167" w:rsidRPr="00917FC4" w:rsidRDefault="00F47167" w:rsidP="00F47167">
                            <w:pPr>
                              <w:pStyle w:val="ListParagraph"/>
                              <w:numPr>
                                <w:ilvl w:val="0"/>
                                <w:numId w:val="26"/>
                              </w:numPr>
                              <w:rPr>
                                <w:lang w:val="en-GB" w:eastAsia="ko-KR"/>
                              </w:rPr>
                            </w:pPr>
                            <w:r w:rsidRPr="00917FC4">
                              <w:rPr>
                                <w:lang w:val="en-GB" w:eastAsia="ko-KR"/>
                              </w:rPr>
                              <w:t xml:space="preserve">The UE shall perform RLF recovery if the consistent UL LBT failure was detected on the </w:t>
                            </w:r>
                            <w:proofErr w:type="spellStart"/>
                            <w:r w:rsidRPr="00917FC4">
                              <w:rPr>
                                <w:lang w:val="en-GB" w:eastAsia="ko-KR"/>
                              </w:rPr>
                              <w:t>PCell</w:t>
                            </w:r>
                            <w:proofErr w:type="spellEnd"/>
                            <w:r w:rsidRPr="00917FC4">
                              <w:rPr>
                                <w:lang w:val="en-GB" w:eastAsia="ko-KR"/>
                              </w:rPr>
                              <w:t xml:space="preserve"> and UL LBT failure was detected on “N” possible BWP.   “ </w:t>
                            </w:r>
                          </w:p>
                          <w:p w14:paraId="25BEADE1" w14:textId="77777777" w:rsidR="00F47167" w:rsidRPr="00917FC4" w:rsidRDefault="00F47167" w:rsidP="00F47167">
                            <w:pPr>
                              <w:pStyle w:val="ListParagraph"/>
                              <w:numPr>
                                <w:ilvl w:val="0"/>
                                <w:numId w:val="26"/>
                              </w:numPr>
                              <w:rPr>
                                <w:lang w:val="en-GB" w:eastAsia="ko-KR"/>
                              </w:rPr>
                            </w:pPr>
                            <w:r w:rsidRPr="00917FC4">
                              <w:rPr>
                                <w:lang w:val="en-GB" w:eastAsia="ko-KR"/>
                              </w:rPr>
                              <w:t xml:space="preserve">When consistent uplink LBT failures are detected on the </w:t>
                            </w:r>
                            <w:proofErr w:type="spellStart"/>
                            <w:r w:rsidRPr="00917FC4">
                              <w:rPr>
                                <w:lang w:val="en-GB" w:eastAsia="ko-KR"/>
                              </w:rPr>
                              <w:t>PSCell</w:t>
                            </w:r>
                            <w:proofErr w:type="spellEnd"/>
                            <w:r w:rsidRPr="00917FC4">
                              <w:rPr>
                                <w:lang w:val="en-GB" w:eastAsia="ko-KR"/>
                              </w:rPr>
                              <w:t xml:space="preserve">, the UE informs MN via the SCG failure information procedure after detecting a consistent UL LBT failure on “N” BWPs.   </w:t>
                            </w:r>
                          </w:p>
                          <w:p w14:paraId="1F21614A" w14:textId="77777777" w:rsidR="00F47167" w:rsidRPr="00917FC4" w:rsidRDefault="00F47167" w:rsidP="00F47167">
                            <w:pPr>
                              <w:pStyle w:val="ListParagraph"/>
                              <w:numPr>
                                <w:ilvl w:val="0"/>
                                <w:numId w:val="26"/>
                              </w:numPr>
                              <w:rPr>
                                <w:lang w:val="en-GB" w:eastAsia="ko-KR"/>
                              </w:rPr>
                            </w:pPr>
                            <w:r w:rsidRPr="00917FC4">
                              <w:rPr>
                                <w:lang w:val="en-GB" w:eastAsia="ko-KR"/>
                              </w:rPr>
                              <w:t xml:space="preserve">“N” is the number of configured BWPs with configured PRACH resources.   If N is larger than one it is up to the UE implementation which </w:t>
                            </w:r>
                            <w:proofErr w:type="gramStart"/>
                            <w:r w:rsidRPr="00917FC4">
                              <w:rPr>
                                <w:lang w:val="en-GB" w:eastAsia="ko-KR"/>
                              </w:rPr>
                              <w:t>BWP</w:t>
                            </w:r>
                            <w:proofErr w:type="gramEnd"/>
                            <w:r w:rsidRPr="00917FC4">
                              <w:rPr>
                                <w:lang w:val="en-GB" w:eastAsia="ko-KR"/>
                              </w:rPr>
                              <w:t xml:space="preserve"> the UE selects.  </w:t>
                            </w:r>
                          </w:p>
                          <w:p w14:paraId="5E9E1179" w14:textId="77777777" w:rsidR="00F47167" w:rsidRDefault="00F47167" w:rsidP="00F47167">
                            <w:pPr>
                              <w:pStyle w:val="ListParagraph"/>
                              <w:numPr>
                                <w:ilvl w:val="0"/>
                                <w:numId w:val="26"/>
                              </w:numPr>
                            </w:pPr>
                            <w:r w:rsidRPr="00917FC4">
                              <w:rPr>
                                <w:lang w:val="en-GB" w:eastAsia="ko-KR"/>
                              </w:rPr>
                              <w:t xml:space="preserve">When consistent uplink LBT failures are detected on an </w:t>
                            </w:r>
                            <w:proofErr w:type="spellStart"/>
                            <w:r w:rsidRPr="00917FC4">
                              <w:rPr>
                                <w:lang w:val="en-GB" w:eastAsia="ko-KR"/>
                              </w:rPr>
                              <w:t>SCell</w:t>
                            </w:r>
                            <w:proofErr w:type="spellEnd"/>
                            <w:r w:rsidRPr="00917FC4">
                              <w:rPr>
                                <w:lang w:val="en-GB" w:eastAsia="ko-KR"/>
                              </w:rPr>
                              <w:t xml:space="preserve">, a new MAC CE to report this to the node where </w:t>
                            </w:r>
                            <w:proofErr w:type="spellStart"/>
                            <w:r w:rsidRPr="00917FC4">
                              <w:rPr>
                                <w:lang w:val="en-GB" w:eastAsia="ko-KR"/>
                              </w:rPr>
                              <w:t>SCell</w:t>
                            </w:r>
                            <w:proofErr w:type="spellEnd"/>
                            <w:r w:rsidRPr="00917FC4">
                              <w:rPr>
                                <w:lang w:val="en-GB" w:eastAsia="ko-KR"/>
                              </w:rPr>
                              <w:t xml:space="preserve"> belongs to is used.  FFS whether the MAC CE can be used to report failure on </w:t>
                            </w:r>
                            <w:proofErr w:type="spellStart"/>
                            <w:r w:rsidRPr="00917FC4">
                              <w:rPr>
                                <w:lang w:val="en-GB" w:eastAsia="ko-KR"/>
                              </w:rPr>
                              <w:t>PCell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1D1759" id="_x0000_t202" coordsize="21600,21600" o:spt="202" path="m,l,21600r21600,l21600,xe">
                <v:stroke joinstyle="miter"/>
                <v:path gradientshapeok="t" o:connecttype="rect"/>
              </v:shapetype>
              <v:shape id="Text Box 2" o:spid="_x0000_s1026" type="#_x0000_t202" style="position:absolute;margin-left:12pt;margin-top:55.45pt;width:444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">
                <v:textbox style="mso-fit-shape-to-text:t">
                  <w:txbxContent>
                    <w:p w14:paraId="3F3F1D84" w14:textId="77777777" w:rsidR="00F47167" w:rsidRPr="00244F7F" w:rsidRDefault="00F47167" w:rsidP="00F47167">
                      <w:pPr>
                        <w:pStyle w:val="NormalWeb"/>
                        <w:spacing w:before="0" w:beforeAutospacing="0" w:after="0" w:afterAutospacing="0"/>
                        <w:ind w:left="540"/>
                        <w:rPr>
                          <w:rFonts w:ascii="Arial" w:hAnsi="Arial" w:cs="Arial"/>
                          <w:sz w:val="20"/>
                          <w:szCs w:val="20"/>
                          <w:lang w:val="en-US"/>
                        </w:rPr>
                      </w:pPr>
                      <w:r w:rsidRPr="00244F7F">
                        <w:rPr>
                          <w:rFonts w:ascii="Arial" w:hAnsi="Arial" w:cs="Arial"/>
                          <w:b/>
                          <w:bCs/>
                          <w:sz w:val="20"/>
                          <w:szCs w:val="20"/>
                          <w:lang w:val="en-US"/>
                        </w:rPr>
                        <w:t>Agreements:</w:t>
                      </w:r>
                    </w:p>
                    <w:p w14:paraId="735C2685" w14:textId="77777777" w:rsidR="00F47167" w:rsidRPr="00244F7F" w:rsidRDefault="00F47167" w:rsidP="00F47167">
                      <w:pPr>
                        <w:pStyle w:val="ListParagraph"/>
                        <w:numPr>
                          <w:ilvl w:val="0"/>
                          <w:numId w:val="26"/>
                        </w:numPr>
                        <w:rPr>
                          <w:lang w:val="en-GB" w:eastAsia="ko-KR"/>
                        </w:rPr>
                      </w:pPr>
                      <w:r w:rsidRPr="00244F7F">
                        <w:rPr>
                          <w:lang w:val="en-GB" w:eastAsia="ko-KR"/>
                        </w:rPr>
                        <w:t xml:space="preserve">MAC relies on reception of a notification of UL LBT failure from the physical layer to detect a consistent UL LBT failure.  </w:t>
                      </w:r>
                    </w:p>
                    <w:p w14:paraId="313EA6CA" w14:textId="77777777" w:rsidR="00F47167" w:rsidRPr="00917FC4" w:rsidRDefault="00F47167" w:rsidP="00F47167">
                      <w:pPr>
                        <w:pStyle w:val="ListParagraph"/>
                        <w:numPr>
                          <w:ilvl w:val="0"/>
                          <w:numId w:val="26"/>
                        </w:numPr>
                        <w:rPr>
                          <w:lang w:val="en-GB" w:eastAsia="ko-KR"/>
                        </w:rPr>
                      </w:pPr>
                      <w:r w:rsidRPr="00244F7F">
                        <w:rPr>
                          <w:lang w:val="en-GB" w:eastAsia="ko-KR"/>
                        </w:rPr>
                        <w:t>The UE switches to another BWP</w:t>
                      </w:r>
                      <w:r w:rsidRPr="00917FC4">
                        <w:rPr>
                          <w:lang w:val="en-GB" w:eastAsia="ko-KR"/>
                        </w:rPr>
                        <w:t xml:space="preserve"> and initiates RACH upon declaration of consistent LBT failure on </w:t>
                      </w:r>
                      <w:proofErr w:type="spellStart"/>
                      <w:r w:rsidRPr="00917FC4">
                        <w:rPr>
                          <w:lang w:val="en-GB" w:eastAsia="ko-KR"/>
                        </w:rPr>
                        <w:t>PCell</w:t>
                      </w:r>
                      <w:proofErr w:type="spellEnd"/>
                      <w:r w:rsidRPr="00917FC4">
                        <w:rPr>
                          <w:lang w:val="en-GB" w:eastAsia="ko-KR"/>
                        </w:rPr>
                        <w:t xml:space="preserve"> or </w:t>
                      </w:r>
                      <w:proofErr w:type="spellStart"/>
                      <w:r w:rsidRPr="00917FC4">
                        <w:rPr>
                          <w:lang w:val="en-GB" w:eastAsia="ko-KR"/>
                        </w:rPr>
                        <w:t>PSCell</w:t>
                      </w:r>
                      <w:proofErr w:type="spellEnd"/>
                      <w:r w:rsidRPr="00917FC4">
                        <w:rPr>
                          <w:lang w:val="en-GB" w:eastAsia="ko-KR"/>
                        </w:rPr>
                        <w:t xml:space="preserve"> if there is another BWP with configured RACH resources.    </w:t>
                      </w:r>
                    </w:p>
                    <w:p w14:paraId="4B917191" w14:textId="77777777" w:rsidR="00F47167" w:rsidRPr="00917FC4" w:rsidRDefault="00F47167" w:rsidP="00F47167">
                      <w:pPr>
                        <w:pStyle w:val="ListParagraph"/>
                        <w:numPr>
                          <w:ilvl w:val="0"/>
                          <w:numId w:val="26"/>
                        </w:numPr>
                        <w:rPr>
                          <w:lang w:val="en-GB" w:eastAsia="ko-KR"/>
                        </w:rPr>
                      </w:pPr>
                      <w:r w:rsidRPr="00917FC4">
                        <w:rPr>
                          <w:lang w:val="en-GB" w:eastAsia="ko-KR"/>
                        </w:rPr>
                        <w:t xml:space="preserve">The UE shall perform RLF recovery if the consistent UL LBT failure was detected on the </w:t>
                      </w:r>
                      <w:proofErr w:type="spellStart"/>
                      <w:r w:rsidRPr="00917FC4">
                        <w:rPr>
                          <w:lang w:val="en-GB" w:eastAsia="ko-KR"/>
                        </w:rPr>
                        <w:t>PCell</w:t>
                      </w:r>
                      <w:proofErr w:type="spellEnd"/>
                      <w:r w:rsidRPr="00917FC4">
                        <w:rPr>
                          <w:lang w:val="en-GB" w:eastAsia="ko-KR"/>
                        </w:rPr>
                        <w:t xml:space="preserve"> and UL LBT failure was detected on “N” possible BWP.   “ </w:t>
                      </w:r>
                    </w:p>
                    <w:p w14:paraId="25BEADE1" w14:textId="77777777" w:rsidR="00F47167" w:rsidRPr="00917FC4" w:rsidRDefault="00F47167" w:rsidP="00F47167">
                      <w:pPr>
                        <w:pStyle w:val="ListParagraph"/>
                        <w:numPr>
                          <w:ilvl w:val="0"/>
                          <w:numId w:val="26"/>
                        </w:numPr>
                        <w:rPr>
                          <w:lang w:val="en-GB" w:eastAsia="ko-KR"/>
                        </w:rPr>
                      </w:pPr>
                      <w:r w:rsidRPr="00917FC4">
                        <w:rPr>
                          <w:lang w:val="en-GB" w:eastAsia="ko-KR"/>
                        </w:rPr>
                        <w:t xml:space="preserve">When consistent uplink LBT failures are detected on the </w:t>
                      </w:r>
                      <w:proofErr w:type="spellStart"/>
                      <w:r w:rsidRPr="00917FC4">
                        <w:rPr>
                          <w:lang w:val="en-GB" w:eastAsia="ko-KR"/>
                        </w:rPr>
                        <w:t>PSCell</w:t>
                      </w:r>
                      <w:proofErr w:type="spellEnd"/>
                      <w:r w:rsidRPr="00917FC4">
                        <w:rPr>
                          <w:lang w:val="en-GB" w:eastAsia="ko-KR"/>
                        </w:rPr>
                        <w:t xml:space="preserve">, the UE informs MN via the SCG failure information procedure after detecting a consistent UL LBT failure on “N” BWPs.   </w:t>
                      </w:r>
                    </w:p>
                    <w:p w14:paraId="1F21614A" w14:textId="77777777" w:rsidR="00F47167" w:rsidRPr="00917FC4" w:rsidRDefault="00F47167" w:rsidP="00F47167">
                      <w:pPr>
                        <w:pStyle w:val="ListParagraph"/>
                        <w:numPr>
                          <w:ilvl w:val="0"/>
                          <w:numId w:val="26"/>
                        </w:numPr>
                        <w:rPr>
                          <w:lang w:val="en-GB" w:eastAsia="ko-KR"/>
                        </w:rPr>
                      </w:pPr>
                      <w:r w:rsidRPr="00917FC4">
                        <w:rPr>
                          <w:lang w:val="en-GB" w:eastAsia="ko-KR"/>
                        </w:rPr>
                        <w:t xml:space="preserve">“N” is the number of configured BWPs with configured PRACH resources.   If N is larger than one it is up to the UE implementation which </w:t>
                      </w:r>
                      <w:proofErr w:type="gramStart"/>
                      <w:r w:rsidRPr="00917FC4">
                        <w:rPr>
                          <w:lang w:val="en-GB" w:eastAsia="ko-KR"/>
                        </w:rPr>
                        <w:t>BWP</w:t>
                      </w:r>
                      <w:proofErr w:type="gramEnd"/>
                      <w:r w:rsidRPr="00917FC4">
                        <w:rPr>
                          <w:lang w:val="en-GB" w:eastAsia="ko-KR"/>
                        </w:rPr>
                        <w:t xml:space="preserve"> the UE selects.  </w:t>
                      </w:r>
                    </w:p>
                    <w:p w14:paraId="5E9E1179" w14:textId="77777777" w:rsidR="00F47167" w:rsidRDefault="00F47167" w:rsidP="00F47167">
                      <w:pPr>
                        <w:pStyle w:val="ListParagraph"/>
                        <w:numPr>
                          <w:ilvl w:val="0"/>
                          <w:numId w:val="26"/>
                        </w:numPr>
                      </w:pPr>
                      <w:r w:rsidRPr="00917FC4">
                        <w:rPr>
                          <w:lang w:val="en-GB" w:eastAsia="ko-KR"/>
                        </w:rPr>
                        <w:t xml:space="preserve">When consistent uplink LBT failures are detected on an </w:t>
                      </w:r>
                      <w:proofErr w:type="spellStart"/>
                      <w:r w:rsidRPr="00917FC4">
                        <w:rPr>
                          <w:lang w:val="en-GB" w:eastAsia="ko-KR"/>
                        </w:rPr>
                        <w:t>SCell</w:t>
                      </w:r>
                      <w:proofErr w:type="spellEnd"/>
                      <w:r w:rsidRPr="00917FC4">
                        <w:rPr>
                          <w:lang w:val="en-GB" w:eastAsia="ko-KR"/>
                        </w:rPr>
                        <w:t xml:space="preserve">, a new MAC CE to report this to the node where </w:t>
                      </w:r>
                      <w:proofErr w:type="spellStart"/>
                      <w:r w:rsidRPr="00917FC4">
                        <w:rPr>
                          <w:lang w:val="en-GB" w:eastAsia="ko-KR"/>
                        </w:rPr>
                        <w:t>SCell</w:t>
                      </w:r>
                      <w:proofErr w:type="spellEnd"/>
                      <w:r w:rsidRPr="00917FC4">
                        <w:rPr>
                          <w:lang w:val="en-GB" w:eastAsia="ko-KR"/>
                        </w:rPr>
                        <w:t xml:space="preserve"> belongs to is used.  FFS whether the MAC CE can be used to report failure on </w:t>
                      </w:r>
                      <w:proofErr w:type="spellStart"/>
                      <w:r w:rsidRPr="00917FC4">
                        <w:rPr>
                          <w:lang w:val="en-GB" w:eastAsia="ko-KR"/>
                        </w:rPr>
                        <w:t>PCell</w:t>
                      </w:r>
                      <w:proofErr w:type="spellEnd"/>
                    </w:p>
                  </w:txbxContent>
                </v:textbox>
                <w10:wrap type="square" anchorx="margin"/>
              </v:shape>
            </w:pict>
          </mc:Fallback>
        </mc:AlternateContent>
      </w:r>
      <w:r w:rsidR="00F47167" w:rsidRPr="0064354B">
        <w:rPr>
          <w:lang w:val="en-GB" w:eastAsia="ko-KR"/>
        </w:rPr>
        <w:t xml:space="preserve">Additionally, there are mechanisms </w:t>
      </w:r>
      <w:r w:rsidR="00DC6C3A" w:rsidRPr="0064354B">
        <w:rPr>
          <w:lang w:val="en-GB" w:eastAsia="ko-KR"/>
        </w:rPr>
        <w:t xml:space="preserve">being </w:t>
      </w:r>
      <w:r w:rsidR="00F47167" w:rsidRPr="0064354B">
        <w:rPr>
          <w:lang w:val="en-GB" w:eastAsia="ko-KR"/>
        </w:rPr>
        <w:t xml:space="preserve">defined </w:t>
      </w:r>
      <w:r w:rsidR="00624A46" w:rsidRPr="0064354B">
        <w:rPr>
          <w:lang w:val="en-GB" w:eastAsia="ko-KR"/>
        </w:rPr>
        <w:t>that can handle</w:t>
      </w:r>
      <w:r w:rsidR="00F47167" w:rsidRPr="0064354B">
        <w:rPr>
          <w:lang w:val="en-GB" w:eastAsia="ko-KR"/>
        </w:rPr>
        <w:t xml:space="preserve"> </w:t>
      </w:r>
      <w:r w:rsidR="00F47167" w:rsidRPr="0064354B">
        <w:rPr>
          <w:lang w:val="en-GB" w:eastAsia="ko-KR"/>
        </w:rPr>
        <w:t xml:space="preserve">DL or UL LBT failures. </w:t>
      </w:r>
      <w:r w:rsidR="00DC6C3A" w:rsidRPr="0064354B">
        <w:rPr>
          <w:lang w:val="en-GB" w:eastAsia="ko-KR"/>
        </w:rPr>
        <w:t xml:space="preserve">For example, </w:t>
      </w:r>
      <w:r w:rsidR="00244F7F" w:rsidRPr="0064354B">
        <w:rPr>
          <w:lang w:val="en-GB" w:eastAsia="ko-KR"/>
        </w:rPr>
        <w:t xml:space="preserve">for </w:t>
      </w:r>
      <w:r w:rsidR="00260E5B" w:rsidRPr="0064354B">
        <w:rPr>
          <w:lang w:val="en-GB" w:eastAsia="ko-KR"/>
        </w:rPr>
        <w:t>DL LBT failure</w:t>
      </w:r>
      <w:r w:rsidR="00DC6C3A" w:rsidRPr="0064354B">
        <w:rPr>
          <w:lang w:val="en-GB" w:eastAsia="ko-KR"/>
        </w:rPr>
        <w:t xml:space="preserve">: either </w:t>
      </w:r>
      <w:r w:rsidR="00D2655D" w:rsidRPr="0064354B">
        <w:rPr>
          <w:lang w:val="en-GB" w:eastAsia="ko-KR"/>
        </w:rPr>
        <w:t xml:space="preserve">a new </w:t>
      </w:r>
      <w:r w:rsidR="00DC6C3A" w:rsidRPr="0064354B">
        <w:rPr>
          <w:lang w:val="en-GB" w:eastAsia="ko-KR"/>
        </w:rPr>
        <w:t xml:space="preserve">active BWP switch is triggered by the expiration of the inactivity timer, or, in the last case, </w:t>
      </w:r>
      <w:r w:rsidR="00260E5B" w:rsidRPr="0064354B">
        <w:rPr>
          <w:lang w:val="en-GB" w:eastAsia="ko-KR"/>
        </w:rPr>
        <w:t>it will be detected by RLM.</w:t>
      </w:r>
      <w:r w:rsidR="00DC6C3A" w:rsidRPr="0064354B">
        <w:rPr>
          <w:lang w:val="en-GB" w:eastAsia="ko-KR"/>
        </w:rPr>
        <w:t xml:space="preserve"> </w:t>
      </w:r>
      <w:r w:rsidR="00260E5B" w:rsidRPr="0064354B">
        <w:rPr>
          <w:lang w:val="en-GB" w:eastAsia="ko-KR"/>
        </w:rPr>
        <w:t>Considering</w:t>
      </w:r>
      <w:r w:rsidR="00DC6C3A" w:rsidRPr="0064354B">
        <w:rPr>
          <w:lang w:val="en-GB" w:eastAsia="ko-KR"/>
        </w:rPr>
        <w:t xml:space="preserve"> UL LBT failure</w:t>
      </w:r>
      <w:r w:rsidR="00260E5B" w:rsidRPr="0064354B">
        <w:rPr>
          <w:lang w:val="en-GB" w:eastAsia="ko-KR"/>
        </w:rPr>
        <w:t>s</w:t>
      </w:r>
      <w:r w:rsidR="00DC6C3A" w:rsidRPr="0064354B">
        <w:rPr>
          <w:lang w:val="en-GB" w:eastAsia="ko-KR"/>
        </w:rPr>
        <w:t>, f</w:t>
      </w:r>
      <w:r w:rsidR="00F47167" w:rsidRPr="0064354B">
        <w:rPr>
          <w:lang w:val="en-GB" w:eastAsia="ko-KR"/>
        </w:rPr>
        <w:t>or example, in case consistent UL LBT failures are detected, the following was agreed in the last RAN2 meeting:</w:t>
      </w:r>
      <w:r w:rsidR="00F47167">
        <w:rPr>
          <w:lang w:val="en-GB" w:eastAsia="ko-KR"/>
        </w:rPr>
        <w:t xml:space="preserve"> </w:t>
      </w:r>
    </w:p>
    <w:p w14:paraId="467EAA24" w14:textId="713248B3" w:rsidR="00260E5B" w:rsidRDefault="00260E5B" w:rsidP="00F47167">
      <w:pPr>
        <w:rPr>
          <w:lang w:val="en-GB" w:eastAsia="ko-KR"/>
        </w:rPr>
      </w:pPr>
    </w:p>
    <w:p w14:paraId="7A8A1D5C" w14:textId="10D1DEBE" w:rsidR="0067201A" w:rsidRPr="00F47167" w:rsidRDefault="0067201A" w:rsidP="0067201A">
      <w:pPr>
        <w:rPr>
          <w:lang w:val="en-GB" w:eastAsia="ko-KR"/>
        </w:rPr>
      </w:pPr>
    </w:p>
    <w:p w14:paraId="5B2977F7" w14:textId="2F3918F2" w:rsidR="00DC6C3A" w:rsidRDefault="00DC6C3A" w:rsidP="00DC6C3A">
      <w:pPr>
        <w:pStyle w:val="RAN4observation0"/>
      </w:pPr>
      <w:r>
        <w:lastRenderedPageBreak/>
        <w:t>There are other mechanisms to handle DL or UL LBT failures</w:t>
      </w:r>
      <w:r w:rsidR="00244F7F">
        <w:t xml:space="preserve"> in NR-U.</w:t>
      </w:r>
    </w:p>
    <w:p w14:paraId="547B929F" w14:textId="79D944ED" w:rsidR="0067201A" w:rsidRDefault="0067201A" w:rsidP="0067201A">
      <w:pPr>
        <w:pStyle w:val="RAN4proposal"/>
        <w:rPr>
          <w:lang w:val="en-GB"/>
        </w:rPr>
      </w:pPr>
      <w:r>
        <w:rPr>
          <w:lang w:val="en-GB"/>
        </w:rPr>
        <w:t>No new UE behaviour is needed in RAN4 specification to account for UL or DL LBT failures in the new active BWP.</w:t>
      </w:r>
    </w:p>
    <w:p w14:paraId="1F363D66" w14:textId="5FE6D7FB" w:rsidR="00A87321" w:rsidRPr="00A87321" w:rsidRDefault="00A87321" w:rsidP="00A87321">
      <w:pPr>
        <w:pStyle w:val="RAN4proposal"/>
        <w:rPr>
          <w:lang w:val="en-GB"/>
        </w:rPr>
      </w:pPr>
      <w:r>
        <w:rPr>
          <w:lang w:val="en-GB"/>
        </w:rPr>
        <w:t xml:space="preserve">If Proposal 2 is </w:t>
      </w:r>
      <w:r w:rsidR="00624A46">
        <w:rPr>
          <w:lang w:val="en-GB"/>
        </w:rPr>
        <w:t>agreed</w:t>
      </w:r>
      <w:r>
        <w:rPr>
          <w:lang w:val="en-GB"/>
        </w:rPr>
        <w:t>, there is no need to introduce a new section in TS 38.133 for the NR-U active BWP switch requirements. The</w:t>
      </w:r>
      <w:r w:rsidR="00E2622A">
        <w:rPr>
          <w:lang w:val="en-GB"/>
        </w:rPr>
        <w:t xml:space="preserve"> applicability of the</w:t>
      </w:r>
      <w:r>
        <w:rPr>
          <w:lang w:val="en-GB"/>
        </w:rPr>
        <w:t xml:space="preserve"> requirements </w:t>
      </w:r>
      <w:r w:rsidR="00260E5B">
        <w:rPr>
          <w:lang w:val="en-GB"/>
        </w:rPr>
        <w:t xml:space="preserve">of NR Rel-15 can be </w:t>
      </w:r>
      <w:r w:rsidR="00E2622A">
        <w:rPr>
          <w:lang w:val="en-GB"/>
        </w:rPr>
        <w:t xml:space="preserve">extended </w:t>
      </w:r>
      <w:r w:rsidR="00260E5B">
        <w:rPr>
          <w:lang w:val="en-GB"/>
        </w:rPr>
        <w:t>to NR-U.</w:t>
      </w:r>
    </w:p>
    <w:p w14:paraId="61A3E3E7" w14:textId="77777777" w:rsidR="00CD7492" w:rsidRPr="0095295C" w:rsidRDefault="00CD7492" w:rsidP="0008612A">
      <w:pPr>
        <w:pStyle w:val="RAN4H1"/>
      </w:pPr>
      <w:r>
        <w:t>3</w:t>
      </w:r>
      <w:r>
        <w:tab/>
        <w:t>Conclusion</w:t>
      </w:r>
    </w:p>
    <w:p w14:paraId="1D4B71EC" w14:textId="77777777" w:rsidR="0024764D" w:rsidRDefault="0024764D" w:rsidP="0024764D">
      <w:pPr>
        <w:pStyle w:val="RAN4Observation"/>
        <w:numPr>
          <w:ilvl w:val="0"/>
          <w:numId w:val="27"/>
        </w:numPr>
        <w:spacing w:line="276" w:lineRule="auto"/>
        <w:rPr>
          <w:lang w:eastAsia="ko-KR"/>
        </w:rPr>
      </w:pPr>
      <w:r>
        <w:rPr>
          <w:lang w:eastAsia="ko-KR"/>
        </w:rPr>
        <w:t xml:space="preserve">DCI-based and timer-based BWP switching delay is not dependent on UE’s acknowledgement. </w:t>
      </w:r>
    </w:p>
    <w:p w14:paraId="725E1C2F" w14:textId="77777777" w:rsidR="0024764D" w:rsidRDefault="0024764D" w:rsidP="0024764D">
      <w:pPr>
        <w:pStyle w:val="RAN4Observation"/>
        <w:numPr>
          <w:ilvl w:val="0"/>
          <w:numId w:val="27"/>
        </w:numPr>
        <w:spacing w:line="276" w:lineRule="auto"/>
        <w:rPr>
          <w:lang w:eastAsia="ko-KR"/>
        </w:rPr>
      </w:pPr>
      <w:r>
        <w:rPr>
          <w:lang w:eastAsia="ko-KR"/>
        </w:rPr>
        <w:t xml:space="preserve">Acknowledgment for BWP switching DCI may be received reliably within </w:t>
      </w:r>
      <w:proofErr w:type="spellStart"/>
      <w:r>
        <w:rPr>
          <w:lang w:eastAsia="ko-KR"/>
        </w:rPr>
        <w:t>gNBs</w:t>
      </w:r>
      <w:proofErr w:type="spellEnd"/>
      <w:r>
        <w:rPr>
          <w:lang w:eastAsia="ko-KR"/>
        </w:rPr>
        <w:t xml:space="preserve"> shared COT</w:t>
      </w:r>
    </w:p>
    <w:p w14:paraId="3A995ED3" w14:textId="643D2151" w:rsidR="0024764D" w:rsidRDefault="0024764D" w:rsidP="0024764D">
      <w:pPr>
        <w:pStyle w:val="RAN4Observation"/>
        <w:numPr>
          <w:ilvl w:val="0"/>
          <w:numId w:val="27"/>
        </w:numPr>
        <w:spacing w:line="276" w:lineRule="auto"/>
        <w:ind w:left="0" w:firstLine="0"/>
      </w:pPr>
      <w:r>
        <w:t xml:space="preserve">The active BWP switch </w:t>
      </w:r>
      <w:r>
        <w:rPr>
          <w:lang w:eastAsia="ko-KR"/>
        </w:rPr>
        <w:t>delay</w:t>
      </w:r>
      <w:r>
        <w:t xml:space="preserve"> defined in TS 38.133, either based on DCI, timer or RRC, accounts the delay between the command is received or the timer expires, until the time in which the UE shall be ready to receive or transmit in the new active BWP, rather than the moment in which the channel is available at the new BWP for transmission or reception.</w:t>
      </w:r>
    </w:p>
    <w:p w14:paraId="28D78BB0" w14:textId="77777777" w:rsidR="0024764D" w:rsidRDefault="0024764D" w:rsidP="0024764D">
      <w:pPr>
        <w:pStyle w:val="RAN4Observation"/>
        <w:numPr>
          <w:ilvl w:val="0"/>
          <w:numId w:val="27"/>
        </w:numPr>
        <w:spacing w:line="276" w:lineRule="auto"/>
        <w:ind w:left="0" w:firstLine="0"/>
        <w:rPr>
          <w:lang w:eastAsia="ko-KR"/>
        </w:rPr>
      </w:pPr>
      <w:r>
        <w:rPr>
          <w:lang w:eastAsia="ko-KR"/>
        </w:rPr>
        <w:t xml:space="preserve">For RRC based active BWP switch delay, the NR Rel-15 RRC processing delay excludes delays caused by scheduling, random access procedure or physical layer synchronization in R15 NR. </w:t>
      </w:r>
    </w:p>
    <w:p w14:paraId="05CC4A73" w14:textId="067B7948" w:rsidR="0024764D" w:rsidRDefault="0024764D" w:rsidP="0024764D">
      <w:pPr>
        <w:pStyle w:val="RAN4Observation"/>
        <w:numPr>
          <w:ilvl w:val="0"/>
          <w:numId w:val="27"/>
        </w:numPr>
        <w:spacing w:line="276" w:lineRule="auto"/>
        <w:ind w:left="0" w:firstLine="0"/>
        <w:rPr>
          <w:lang w:eastAsia="ko-KR"/>
        </w:rPr>
      </w:pPr>
      <w:r w:rsidRPr="00260E5B">
        <w:rPr>
          <w:lang w:eastAsia="ko-KR"/>
        </w:rPr>
        <w:t>The reception of PDSCH or transmission of PUSCH in the new BWP are not part of the active BWP switch delay defined in TS 38.133.</w:t>
      </w:r>
    </w:p>
    <w:p w14:paraId="49E875EE" w14:textId="31741C0F" w:rsidR="0024764D" w:rsidRPr="0024764D" w:rsidRDefault="0024764D" w:rsidP="007E1870">
      <w:pPr>
        <w:pStyle w:val="RAN4Observation"/>
        <w:numPr>
          <w:ilvl w:val="0"/>
          <w:numId w:val="27"/>
        </w:numPr>
        <w:spacing w:line="276" w:lineRule="auto"/>
        <w:rPr>
          <w:lang w:eastAsia="ko-KR"/>
        </w:rPr>
      </w:pPr>
      <w:r>
        <w:t>There are other mechanisms to handle DL or UL LBT failures in NR-U.</w:t>
      </w:r>
      <w:bookmarkStart w:id="3" w:name="_GoBack"/>
      <w:bookmarkEnd w:id="3"/>
    </w:p>
    <w:p w14:paraId="0950C44B" w14:textId="77777777" w:rsidR="0024764D" w:rsidRPr="0064354B" w:rsidRDefault="0024764D" w:rsidP="0024764D">
      <w:pPr>
        <w:pStyle w:val="RAN4proposal"/>
        <w:numPr>
          <w:ilvl w:val="0"/>
          <w:numId w:val="28"/>
        </w:numPr>
        <w:rPr>
          <w:lang w:eastAsia="ko-KR"/>
        </w:rPr>
      </w:pPr>
      <w:r w:rsidRPr="00260E5B">
        <w:rPr>
          <w:lang w:eastAsia="ko-KR"/>
        </w:rPr>
        <w:t xml:space="preserve">The </w:t>
      </w:r>
      <w:r>
        <w:rPr>
          <w:lang w:eastAsia="ko-KR"/>
        </w:rPr>
        <w:t>extra time introduced by</w:t>
      </w:r>
      <w:r w:rsidRPr="00260E5B">
        <w:rPr>
          <w:lang w:eastAsia="ko-KR"/>
        </w:rPr>
        <w:t xml:space="preserve"> DL or UL LBT</w:t>
      </w:r>
      <w:r>
        <w:rPr>
          <w:lang w:eastAsia="ko-KR"/>
        </w:rPr>
        <w:t xml:space="preserve"> failures</w:t>
      </w:r>
      <w:r w:rsidRPr="00260E5B">
        <w:rPr>
          <w:lang w:eastAsia="ko-KR"/>
        </w:rPr>
        <w:t xml:space="preserve"> in the new active BWP shall not be included in the </w:t>
      </w:r>
      <w:r w:rsidRPr="0064354B">
        <w:rPr>
          <w:lang w:eastAsia="ko-KR"/>
        </w:rPr>
        <w:t xml:space="preserve">active BWP switch delay. </w:t>
      </w:r>
    </w:p>
    <w:p w14:paraId="1414A86F" w14:textId="77777777" w:rsidR="0024764D" w:rsidRDefault="0024764D" w:rsidP="0024764D">
      <w:pPr>
        <w:pStyle w:val="RAN4proposal"/>
        <w:rPr>
          <w:lang w:val="en-GB"/>
        </w:rPr>
      </w:pPr>
      <w:r>
        <w:rPr>
          <w:lang w:val="en-GB"/>
        </w:rPr>
        <w:t>No new UE behaviour is needed in RAN4 specification to account for UL or DL LBT failures in the new active BWP.</w:t>
      </w:r>
    </w:p>
    <w:p w14:paraId="778E587A" w14:textId="77777777" w:rsidR="0024764D" w:rsidRPr="00A87321" w:rsidRDefault="0024764D" w:rsidP="0024764D">
      <w:pPr>
        <w:pStyle w:val="RAN4proposal"/>
        <w:rPr>
          <w:lang w:val="en-GB"/>
        </w:rPr>
      </w:pPr>
      <w:r>
        <w:rPr>
          <w:lang w:val="en-GB"/>
        </w:rPr>
        <w:t>If Proposal 2 is agreed, there is no need to introduce a new section in TS 38.133 for the NR-U active BWP switch requirements. The applicability of the requirements of NR Rel-15 can be extended to NR-U.</w:t>
      </w:r>
    </w:p>
    <w:p w14:paraId="70D3B83E" w14:textId="77777777" w:rsidR="00BC766B" w:rsidRPr="0024764D" w:rsidRDefault="00BC766B" w:rsidP="00BC766B">
      <w:pPr>
        <w:rPr>
          <w:lang w:val="en-GB"/>
        </w:rPr>
      </w:pPr>
    </w:p>
    <w:p w14:paraId="24575591" w14:textId="77777777" w:rsidR="003B659E" w:rsidRPr="0095295C" w:rsidRDefault="003B659E" w:rsidP="0008612A">
      <w:pPr>
        <w:pStyle w:val="RAN4H1"/>
      </w:pPr>
      <w:r w:rsidRPr="0095295C">
        <w:t>References</w:t>
      </w:r>
    </w:p>
    <w:p w14:paraId="6F188556" w14:textId="77777777" w:rsidR="006E799E" w:rsidRDefault="006E799E" w:rsidP="006E799E">
      <w:pPr>
        <w:numPr>
          <w:ilvl w:val="0"/>
          <w:numId w:val="1"/>
        </w:numPr>
        <w:overflowPunct w:val="0"/>
        <w:autoSpaceDE w:val="0"/>
        <w:autoSpaceDN w:val="0"/>
        <w:adjustRightInd w:val="0"/>
        <w:spacing w:after="120" w:line="240" w:lineRule="auto"/>
        <w:jc w:val="both"/>
        <w:textAlignment w:val="baseline"/>
        <w:rPr>
          <w:lang w:val="en-GB"/>
        </w:rPr>
      </w:pPr>
      <w:bookmarkStart w:id="4" w:name="_Ref19179570"/>
      <w:bookmarkStart w:id="5" w:name="_Ref431017336"/>
      <w:bookmarkStart w:id="6" w:name="_Ref15378955"/>
      <w:bookmarkStart w:id="7" w:name="_Hlk23165108"/>
      <w:r>
        <w:rPr>
          <w:lang w:val="en-GB"/>
        </w:rPr>
        <w:t>R4-1910551, “WF on RRM requirements for NR-U”, Ericsson, Qualcomm Inc, Nokia, Nokia Shanghai Bell.</w:t>
      </w:r>
      <w:bookmarkEnd w:id="4"/>
    </w:p>
    <w:p w14:paraId="6DBA196B" w14:textId="77777777" w:rsidR="006E799E" w:rsidRDefault="006E799E" w:rsidP="006E799E">
      <w:pPr>
        <w:numPr>
          <w:ilvl w:val="0"/>
          <w:numId w:val="1"/>
        </w:numPr>
        <w:overflowPunct w:val="0"/>
        <w:autoSpaceDE w:val="0"/>
        <w:autoSpaceDN w:val="0"/>
        <w:adjustRightInd w:val="0"/>
        <w:spacing w:after="120" w:line="240" w:lineRule="auto"/>
        <w:jc w:val="both"/>
        <w:textAlignment w:val="baseline"/>
        <w:rPr>
          <w:lang w:val="en-GB"/>
        </w:rPr>
      </w:pPr>
      <w:bookmarkStart w:id="8" w:name="_Ref23347087"/>
      <w:r>
        <w:rPr>
          <w:lang w:val="en-GB"/>
        </w:rPr>
        <w:t>R4-1912851, “WF on RRM Requirements for NR-U”, Ericsson, October 2019.</w:t>
      </w:r>
      <w:bookmarkEnd w:id="8"/>
    </w:p>
    <w:bookmarkEnd w:id="5"/>
    <w:bookmarkEnd w:id="6"/>
    <w:bookmarkEnd w:id="7"/>
    <w:p w14:paraId="02354615" w14:textId="77777777" w:rsidR="003B659E" w:rsidRDefault="003B659E" w:rsidP="00841BCD">
      <w:pPr>
        <w:ind w:right="-22"/>
        <w:rPr>
          <w:lang w:val="en-GB"/>
        </w:rPr>
      </w:pPr>
    </w:p>
    <w:p w14:paraId="3DFBC67C" w14:textId="77777777" w:rsidR="00687FA0" w:rsidRPr="003B659E" w:rsidRDefault="00687FA0" w:rsidP="00841BCD">
      <w:pPr>
        <w:ind w:right="-22"/>
        <w:rPr>
          <w:lang w:val="en-GB"/>
        </w:rPr>
      </w:pPr>
    </w:p>
    <w:sectPr w:rsidR="00687FA0" w:rsidRPr="003B659E" w:rsidSect="005E6CF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09728" w14:textId="77777777" w:rsidR="003922AB" w:rsidRDefault="003922AB" w:rsidP="00001C9B">
      <w:pPr>
        <w:spacing w:after="0" w:line="240" w:lineRule="auto"/>
      </w:pPr>
      <w:r>
        <w:separator/>
      </w:r>
    </w:p>
  </w:endnote>
  <w:endnote w:type="continuationSeparator" w:id="0">
    <w:p w14:paraId="7CDAB5B7" w14:textId="77777777" w:rsidR="003922AB" w:rsidRDefault="003922A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6DA9A" w14:textId="77777777" w:rsidR="003922AB" w:rsidRDefault="003922AB" w:rsidP="00001C9B">
      <w:pPr>
        <w:spacing w:after="0" w:line="240" w:lineRule="auto"/>
      </w:pPr>
      <w:r>
        <w:separator/>
      </w:r>
    </w:p>
  </w:footnote>
  <w:footnote w:type="continuationSeparator" w:id="0">
    <w:p w14:paraId="4A552526" w14:textId="77777777" w:rsidR="003922AB" w:rsidRDefault="003922A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04485D"/>
    <w:multiLevelType w:val="hybridMultilevel"/>
    <w:tmpl w:val="F3E8C93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2C590394"/>
    <w:multiLevelType w:val="hybridMultilevel"/>
    <w:tmpl w:val="D394528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730E73"/>
    <w:multiLevelType w:val="hybridMultilevel"/>
    <w:tmpl w:val="23CCA0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BE3A6490"/>
    <w:lvl w:ilvl="0" w:tplc="6D0E2F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E42467"/>
    <w:multiLevelType w:val="hybridMultilevel"/>
    <w:tmpl w:val="8D52250E"/>
    <w:lvl w:ilvl="0" w:tplc="E9841846">
      <w:start w:val="1"/>
      <w:numFmt w:val="bullet"/>
      <w:lvlText w:val="•"/>
      <w:lvlJc w:val="left"/>
      <w:pPr>
        <w:tabs>
          <w:tab w:val="num" w:pos="720"/>
        </w:tabs>
        <w:ind w:left="720" w:hanging="360"/>
      </w:pPr>
      <w:rPr>
        <w:rFonts w:ascii="Arial" w:hAnsi="Arial" w:hint="default"/>
      </w:rPr>
    </w:lvl>
    <w:lvl w:ilvl="1" w:tplc="8548AD52">
      <w:numFmt w:val="bullet"/>
      <w:lvlText w:val="•"/>
      <w:lvlJc w:val="left"/>
      <w:pPr>
        <w:tabs>
          <w:tab w:val="num" w:pos="1440"/>
        </w:tabs>
        <w:ind w:left="1440" w:hanging="360"/>
      </w:pPr>
      <w:rPr>
        <w:rFonts w:ascii="Arial" w:hAnsi="Arial" w:hint="default"/>
      </w:rPr>
    </w:lvl>
    <w:lvl w:ilvl="2" w:tplc="B1F82856">
      <w:numFmt w:val="bullet"/>
      <w:lvlText w:val="•"/>
      <w:lvlJc w:val="left"/>
      <w:pPr>
        <w:tabs>
          <w:tab w:val="num" w:pos="2160"/>
        </w:tabs>
        <w:ind w:left="2160" w:hanging="360"/>
      </w:pPr>
      <w:rPr>
        <w:rFonts w:ascii="Arial" w:hAnsi="Arial" w:hint="default"/>
      </w:rPr>
    </w:lvl>
    <w:lvl w:ilvl="3" w:tplc="B7E8B5FA" w:tentative="1">
      <w:start w:val="1"/>
      <w:numFmt w:val="bullet"/>
      <w:lvlText w:val="•"/>
      <w:lvlJc w:val="left"/>
      <w:pPr>
        <w:tabs>
          <w:tab w:val="num" w:pos="2880"/>
        </w:tabs>
        <w:ind w:left="2880" w:hanging="360"/>
      </w:pPr>
      <w:rPr>
        <w:rFonts w:ascii="Arial" w:hAnsi="Arial" w:hint="default"/>
      </w:rPr>
    </w:lvl>
    <w:lvl w:ilvl="4" w:tplc="DFDC88E4" w:tentative="1">
      <w:start w:val="1"/>
      <w:numFmt w:val="bullet"/>
      <w:lvlText w:val="•"/>
      <w:lvlJc w:val="left"/>
      <w:pPr>
        <w:tabs>
          <w:tab w:val="num" w:pos="3600"/>
        </w:tabs>
        <w:ind w:left="3600" w:hanging="360"/>
      </w:pPr>
      <w:rPr>
        <w:rFonts w:ascii="Arial" w:hAnsi="Arial" w:hint="default"/>
      </w:rPr>
    </w:lvl>
    <w:lvl w:ilvl="5" w:tplc="39BC71FC" w:tentative="1">
      <w:start w:val="1"/>
      <w:numFmt w:val="bullet"/>
      <w:lvlText w:val="•"/>
      <w:lvlJc w:val="left"/>
      <w:pPr>
        <w:tabs>
          <w:tab w:val="num" w:pos="4320"/>
        </w:tabs>
        <w:ind w:left="4320" w:hanging="360"/>
      </w:pPr>
      <w:rPr>
        <w:rFonts w:ascii="Arial" w:hAnsi="Arial" w:hint="default"/>
      </w:rPr>
    </w:lvl>
    <w:lvl w:ilvl="6" w:tplc="743E0CB6" w:tentative="1">
      <w:start w:val="1"/>
      <w:numFmt w:val="bullet"/>
      <w:lvlText w:val="•"/>
      <w:lvlJc w:val="left"/>
      <w:pPr>
        <w:tabs>
          <w:tab w:val="num" w:pos="5040"/>
        </w:tabs>
        <w:ind w:left="5040" w:hanging="360"/>
      </w:pPr>
      <w:rPr>
        <w:rFonts w:ascii="Arial" w:hAnsi="Arial" w:hint="default"/>
      </w:rPr>
    </w:lvl>
    <w:lvl w:ilvl="7" w:tplc="EC16B93C" w:tentative="1">
      <w:start w:val="1"/>
      <w:numFmt w:val="bullet"/>
      <w:lvlText w:val="•"/>
      <w:lvlJc w:val="left"/>
      <w:pPr>
        <w:tabs>
          <w:tab w:val="num" w:pos="5760"/>
        </w:tabs>
        <w:ind w:left="5760" w:hanging="360"/>
      </w:pPr>
      <w:rPr>
        <w:rFonts w:ascii="Arial" w:hAnsi="Arial" w:hint="default"/>
      </w:rPr>
    </w:lvl>
    <w:lvl w:ilvl="8" w:tplc="E6723B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DA629B"/>
    <w:multiLevelType w:val="multilevel"/>
    <w:tmpl w:val="38D0F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64A03D4"/>
    <w:multiLevelType w:val="multilevel"/>
    <w:tmpl w:val="1F882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4943009"/>
    <w:multiLevelType w:val="multilevel"/>
    <w:tmpl w:val="1FFE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E14B9E"/>
    <w:multiLevelType w:val="hybridMultilevel"/>
    <w:tmpl w:val="5862FCDC"/>
    <w:lvl w:ilvl="0" w:tplc="1614783A">
      <w:start w:val="1"/>
      <w:numFmt w:val="bullet"/>
      <w:lvlText w:val="•"/>
      <w:lvlJc w:val="left"/>
      <w:pPr>
        <w:tabs>
          <w:tab w:val="num" w:pos="720"/>
        </w:tabs>
        <w:ind w:left="720" w:hanging="360"/>
      </w:pPr>
      <w:rPr>
        <w:rFonts w:ascii="Arial" w:hAnsi="Arial" w:hint="default"/>
      </w:rPr>
    </w:lvl>
    <w:lvl w:ilvl="1" w:tplc="EB6E8480">
      <w:start w:val="1"/>
      <w:numFmt w:val="bullet"/>
      <w:lvlText w:val="•"/>
      <w:lvlJc w:val="left"/>
      <w:pPr>
        <w:tabs>
          <w:tab w:val="num" w:pos="1440"/>
        </w:tabs>
        <w:ind w:left="1440" w:hanging="360"/>
      </w:pPr>
      <w:rPr>
        <w:rFonts w:ascii="Arial" w:hAnsi="Arial" w:hint="default"/>
      </w:rPr>
    </w:lvl>
    <w:lvl w:ilvl="2" w:tplc="93F811AC">
      <w:start w:val="16686"/>
      <w:numFmt w:val="bullet"/>
      <w:lvlText w:val="•"/>
      <w:lvlJc w:val="left"/>
      <w:pPr>
        <w:tabs>
          <w:tab w:val="num" w:pos="2160"/>
        </w:tabs>
        <w:ind w:left="2160" w:hanging="360"/>
      </w:pPr>
      <w:rPr>
        <w:rFonts w:ascii="Arial" w:hAnsi="Arial" w:hint="default"/>
      </w:rPr>
    </w:lvl>
    <w:lvl w:ilvl="3" w:tplc="578ABBE4" w:tentative="1">
      <w:start w:val="1"/>
      <w:numFmt w:val="bullet"/>
      <w:lvlText w:val="•"/>
      <w:lvlJc w:val="left"/>
      <w:pPr>
        <w:tabs>
          <w:tab w:val="num" w:pos="2880"/>
        </w:tabs>
        <w:ind w:left="2880" w:hanging="360"/>
      </w:pPr>
      <w:rPr>
        <w:rFonts w:ascii="Arial" w:hAnsi="Arial" w:hint="default"/>
      </w:rPr>
    </w:lvl>
    <w:lvl w:ilvl="4" w:tplc="AB845A6C" w:tentative="1">
      <w:start w:val="1"/>
      <w:numFmt w:val="bullet"/>
      <w:lvlText w:val="•"/>
      <w:lvlJc w:val="left"/>
      <w:pPr>
        <w:tabs>
          <w:tab w:val="num" w:pos="3600"/>
        </w:tabs>
        <w:ind w:left="3600" w:hanging="360"/>
      </w:pPr>
      <w:rPr>
        <w:rFonts w:ascii="Arial" w:hAnsi="Arial" w:hint="default"/>
      </w:rPr>
    </w:lvl>
    <w:lvl w:ilvl="5" w:tplc="3532383A" w:tentative="1">
      <w:start w:val="1"/>
      <w:numFmt w:val="bullet"/>
      <w:lvlText w:val="•"/>
      <w:lvlJc w:val="left"/>
      <w:pPr>
        <w:tabs>
          <w:tab w:val="num" w:pos="4320"/>
        </w:tabs>
        <w:ind w:left="4320" w:hanging="360"/>
      </w:pPr>
      <w:rPr>
        <w:rFonts w:ascii="Arial" w:hAnsi="Arial" w:hint="default"/>
      </w:rPr>
    </w:lvl>
    <w:lvl w:ilvl="6" w:tplc="93BE4294" w:tentative="1">
      <w:start w:val="1"/>
      <w:numFmt w:val="bullet"/>
      <w:lvlText w:val="•"/>
      <w:lvlJc w:val="left"/>
      <w:pPr>
        <w:tabs>
          <w:tab w:val="num" w:pos="5040"/>
        </w:tabs>
        <w:ind w:left="5040" w:hanging="360"/>
      </w:pPr>
      <w:rPr>
        <w:rFonts w:ascii="Arial" w:hAnsi="Arial" w:hint="default"/>
      </w:rPr>
    </w:lvl>
    <w:lvl w:ilvl="7" w:tplc="BAF4DD7C" w:tentative="1">
      <w:start w:val="1"/>
      <w:numFmt w:val="bullet"/>
      <w:lvlText w:val="•"/>
      <w:lvlJc w:val="left"/>
      <w:pPr>
        <w:tabs>
          <w:tab w:val="num" w:pos="5760"/>
        </w:tabs>
        <w:ind w:left="5760" w:hanging="360"/>
      </w:pPr>
      <w:rPr>
        <w:rFonts w:ascii="Arial" w:hAnsi="Arial" w:hint="default"/>
      </w:rPr>
    </w:lvl>
    <w:lvl w:ilvl="8" w:tplc="922653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11"/>
  </w:num>
  <w:num w:numId="4">
    <w:abstractNumId w:val="2"/>
  </w:num>
  <w:num w:numId="5">
    <w:abstractNumId w:val="15"/>
  </w:num>
  <w:num w:numId="6">
    <w:abstractNumId w:val="8"/>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8"/>
    <w:lvlOverride w:ilvl="0">
      <w:startOverride w:val="1"/>
    </w:lvlOverride>
  </w:num>
  <w:num w:numId="12">
    <w:abstractNumId w:val="10"/>
    <w:lvlOverride w:ilvl="0">
      <w:startOverride w:val="1"/>
    </w:lvlOverride>
  </w:num>
  <w:num w:numId="13">
    <w:abstractNumId w:val="8"/>
    <w:lvlOverride w:ilvl="0">
      <w:startOverride w:val="1"/>
    </w:lvlOverride>
  </w:num>
  <w:num w:numId="14">
    <w:abstractNumId w:val="10"/>
    <w:lvlOverride w:ilvl="0">
      <w:startOverride w:val="1"/>
    </w:lvlOverride>
  </w:num>
  <w:num w:numId="15">
    <w:abstractNumId w:val="12"/>
  </w:num>
  <w:num w:numId="16">
    <w:abstractNumId w:val="7"/>
  </w:num>
  <w:num w:numId="17">
    <w:abstractNumId w:val="1"/>
  </w:num>
  <w:num w:numId="18">
    <w:abstractNumId w:val="6"/>
  </w:num>
  <w:num w:numId="19">
    <w:abstractNumId w:val="9"/>
  </w:num>
  <w:num w:numId="20">
    <w:abstractNumId w:val="10"/>
    <w:lvlOverride w:ilvl="0">
      <w:startOverride w:val="1"/>
    </w:lvlOverride>
  </w:num>
  <w:num w:numId="21">
    <w:abstractNumId w:val="13"/>
  </w:num>
  <w:num w:numId="22">
    <w:abstractNumId w:val="16"/>
  </w:num>
  <w:num w:numId="23">
    <w:abstractNumId w:val="17"/>
  </w:num>
  <w:num w:numId="24">
    <w:abstractNumId w:val="4"/>
  </w:num>
  <w:num w:numId="25">
    <w:abstractNumId w:val="14"/>
    <w:lvlOverride w:ilvl="0">
      <w:startOverride w:val="1"/>
    </w:lvlOverride>
  </w:num>
  <w:num w:numId="26">
    <w:abstractNumId w:val="5"/>
  </w:num>
  <w:num w:numId="27">
    <w:abstractNumId w:val="8"/>
    <w:lvlOverride w:ilvl="0">
      <w:startOverride w:val="1"/>
    </w:lvlOverride>
  </w:num>
  <w:num w:numId="28">
    <w:abstractNumId w:val="10"/>
    <w:lvlOverride w:ilvl="0">
      <w:startOverride w:val="1"/>
    </w:lvlOverride>
  </w:num>
  <w:num w:numId="29">
    <w:abstractNumId w:val="8"/>
  </w:num>
  <w:num w:numId="30">
    <w:abstractNumId w:val="8"/>
  </w:num>
  <w:num w:numId="31">
    <w:abstractNumId w:val="8"/>
  </w:num>
  <w:num w:numId="32">
    <w:abstractNumId w:val="8"/>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0886"/>
    <w:rsid w:val="00070172"/>
    <w:rsid w:val="000803A0"/>
    <w:rsid w:val="0008612A"/>
    <w:rsid w:val="000911B9"/>
    <w:rsid w:val="000B0056"/>
    <w:rsid w:val="000E5E4B"/>
    <w:rsid w:val="000E64B9"/>
    <w:rsid w:val="000F436C"/>
    <w:rsid w:val="00104385"/>
    <w:rsid w:val="001745F8"/>
    <w:rsid w:val="001838CF"/>
    <w:rsid w:val="0019211D"/>
    <w:rsid w:val="0019624A"/>
    <w:rsid w:val="001B2870"/>
    <w:rsid w:val="001D5370"/>
    <w:rsid w:val="001D61CD"/>
    <w:rsid w:val="001E0314"/>
    <w:rsid w:val="001E30F6"/>
    <w:rsid w:val="001E79C2"/>
    <w:rsid w:val="00220F28"/>
    <w:rsid w:val="00226D98"/>
    <w:rsid w:val="00235F5C"/>
    <w:rsid w:val="00244F7F"/>
    <w:rsid w:val="0024764D"/>
    <w:rsid w:val="00260E5B"/>
    <w:rsid w:val="00283C8F"/>
    <w:rsid w:val="002B4922"/>
    <w:rsid w:val="002C2D19"/>
    <w:rsid w:val="002D10FA"/>
    <w:rsid w:val="002D4C55"/>
    <w:rsid w:val="002D6AD7"/>
    <w:rsid w:val="002F764A"/>
    <w:rsid w:val="003026BF"/>
    <w:rsid w:val="00346B16"/>
    <w:rsid w:val="00356AB6"/>
    <w:rsid w:val="003922AB"/>
    <w:rsid w:val="003B53FB"/>
    <w:rsid w:val="003B659E"/>
    <w:rsid w:val="003C7CCC"/>
    <w:rsid w:val="003F1B52"/>
    <w:rsid w:val="003F2682"/>
    <w:rsid w:val="004023D8"/>
    <w:rsid w:val="00406049"/>
    <w:rsid w:val="0043750A"/>
    <w:rsid w:val="00495C56"/>
    <w:rsid w:val="004A6AAD"/>
    <w:rsid w:val="004E0453"/>
    <w:rsid w:val="004E5E66"/>
    <w:rsid w:val="004F77CE"/>
    <w:rsid w:val="00500F28"/>
    <w:rsid w:val="00503B4D"/>
    <w:rsid w:val="00504EE9"/>
    <w:rsid w:val="00517D1A"/>
    <w:rsid w:val="0054442C"/>
    <w:rsid w:val="00547E4C"/>
    <w:rsid w:val="00550285"/>
    <w:rsid w:val="005608E5"/>
    <w:rsid w:val="005836F8"/>
    <w:rsid w:val="00585CA5"/>
    <w:rsid w:val="00597630"/>
    <w:rsid w:val="005B51C2"/>
    <w:rsid w:val="005E5AA1"/>
    <w:rsid w:val="005E61A8"/>
    <w:rsid w:val="005E6CF6"/>
    <w:rsid w:val="005F6419"/>
    <w:rsid w:val="00617400"/>
    <w:rsid w:val="0061797A"/>
    <w:rsid w:val="00624A46"/>
    <w:rsid w:val="0062513C"/>
    <w:rsid w:val="00630A9C"/>
    <w:rsid w:val="0064354B"/>
    <w:rsid w:val="00664950"/>
    <w:rsid w:val="0067201A"/>
    <w:rsid w:val="00677489"/>
    <w:rsid w:val="00680EAD"/>
    <w:rsid w:val="0068175B"/>
    <w:rsid w:val="00683220"/>
    <w:rsid w:val="00687FA0"/>
    <w:rsid w:val="006912B9"/>
    <w:rsid w:val="006B01B8"/>
    <w:rsid w:val="006B7010"/>
    <w:rsid w:val="006B7325"/>
    <w:rsid w:val="006B7577"/>
    <w:rsid w:val="006D241A"/>
    <w:rsid w:val="006D39F4"/>
    <w:rsid w:val="006E1AB0"/>
    <w:rsid w:val="006E799E"/>
    <w:rsid w:val="00712297"/>
    <w:rsid w:val="007145FF"/>
    <w:rsid w:val="007376B7"/>
    <w:rsid w:val="0074649E"/>
    <w:rsid w:val="007501F7"/>
    <w:rsid w:val="00751515"/>
    <w:rsid w:val="00751C39"/>
    <w:rsid w:val="00760FDB"/>
    <w:rsid w:val="00785232"/>
    <w:rsid w:val="00785916"/>
    <w:rsid w:val="007C3ED0"/>
    <w:rsid w:val="007D5075"/>
    <w:rsid w:val="00801B2C"/>
    <w:rsid w:val="00806A76"/>
    <w:rsid w:val="00811C9D"/>
    <w:rsid w:val="00816C80"/>
    <w:rsid w:val="008277C4"/>
    <w:rsid w:val="00841BCD"/>
    <w:rsid w:val="00881010"/>
    <w:rsid w:val="008826C1"/>
    <w:rsid w:val="008A589C"/>
    <w:rsid w:val="008C6CBD"/>
    <w:rsid w:val="009042BD"/>
    <w:rsid w:val="00906CCF"/>
    <w:rsid w:val="00915F11"/>
    <w:rsid w:val="00917FC4"/>
    <w:rsid w:val="009412FA"/>
    <w:rsid w:val="00956958"/>
    <w:rsid w:val="00977E1D"/>
    <w:rsid w:val="009B0960"/>
    <w:rsid w:val="009B0B09"/>
    <w:rsid w:val="009C7A65"/>
    <w:rsid w:val="00A226EA"/>
    <w:rsid w:val="00A22B78"/>
    <w:rsid w:val="00A25AE5"/>
    <w:rsid w:val="00A25DFD"/>
    <w:rsid w:val="00A36FD5"/>
    <w:rsid w:val="00A87321"/>
    <w:rsid w:val="00A907CB"/>
    <w:rsid w:val="00AA1B0E"/>
    <w:rsid w:val="00AC5CA7"/>
    <w:rsid w:val="00AC6A62"/>
    <w:rsid w:val="00AF02D1"/>
    <w:rsid w:val="00B2359B"/>
    <w:rsid w:val="00B624E0"/>
    <w:rsid w:val="00B66964"/>
    <w:rsid w:val="00B74D1C"/>
    <w:rsid w:val="00BA6026"/>
    <w:rsid w:val="00BA6E48"/>
    <w:rsid w:val="00BB6036"/>
    <w:rsid w:val="00BC766B"/>
    <w:rsid w:val="00BD5C24"/>
    <w:rsid w:val="00BF2218"/>
    <w:rsid w:val="00C13C4D"/>
    <w:rsid w:val="00C15060"/>
    <w:rsid w:val="00C37FF2"/>
    <w:rsid w:val="00CB7F67"/>
    <w:rsid w:val="00CD7492"/>
    <w:rsid w:val="00CE3A6B"/>
    <w:rsid w:val="00D00211"/>
    <w:rsid w:val="00D06309"/>
    <w:rsid w:val="00D25C01"/>
    <w:rsid w:val="00D2655D"/>
    <w:rsid w:val="00D351EA"/>
    <w:rsid w:val="00D43403"/>
    <w:rsid w:val="00D601A1"/>
    <w:rsid w:val="00D60716"/>
    <w:rsid w:val="00D62520"/>
    <w:rsid w:val="00D62E71"/>
    <w:rsid w:val="00D72E4F"/>
    <w:rsid w:val="00D740CA"/>
    <w:rsid w:val="00D750C4"/>
    <w:rsid w:val="00D85728"/>
    <w:rsid w:val="00D91DE2"/>
    <w:rsid w:val="00DA0B49"/>
    <w:rsid w:val="00DB14F1"/>
    <w:rsid w:val="00DC6C3A"/>
    <w:rsid w:val="00DE35F7"/>
    <w:rsid w:val="00DF2997"/>
    <w:rsid w:val="00DF3461"/>
    <w:rsid w:val="00E24567"/>
    <w:rsid w:val="00E24F13"/>
    <w:rsid w:val="00E2622A"/>
    <w:rsid w:val="00E26EE0"/>
    <w:rsid w:val="00E65391"/>
    <w:rsid w:val="00EA2642"/>
    <w:rsid w:val="00EB6494"/>
    <w:rsid w:val="00EC7BC3"/>
    <w:rsid w:val="00ED7600"/>
    <w:rsid w:val="00EF1E3E"/>
    <w:rsid w:val="00F1362C"/>
    <w:rsid w:val="00F202AD"/>
    <w:rsid w:val="00F20A12"/>
    <w:rsid w:val="00F32974"/>
    <w:rsid w:val="00F47167"/>
    <w:rsid w:val="00F52051"/>
    <w:rsid w:val="00F824F5"/>
    <w:rsid w:val="00F95295"/>
    <w:rsid w:val="00FC29B9"/>
    <w:rsid w:val="00FC3EDE"/>
    <w:rsid w:val="00FC6FD3"/>
    <w:rsid w:val="49BDF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E5D3CA"/>
  <w15:chartTrackingRefBased/>
  <w15:docId w15:val="{D038D535-1353-472A-837E-9A7ACCB4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8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中等深浅网格 1 - 着色 2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 Char,中等深浅网格 1 - 着色 21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8175B"/>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ar"/>
    <w:rsid w:val="0068175B"/>
    <w:pPr>
      <w:keepNext/>
      <w:keepLines/>
      <w:spacing w:after="0" w:line="240" w:lineRule="auto"/>
    </w:pPr>
    <w:rPr>
      <w:rFonts w:ascii="Arial" w:eastAsia="MS Mincho" w:hAnsi="Arial" w:cs="Times New Roman"/>
      <w:sz w:val="18"/>
      <w:szCs w:val="20"/>
      <w:lang w:val="en-GB"/>
    </w:rPr>
  </w:style>
  <w:style w:type="character" w:customStyle="1" w:styleId="TALCar">
    <w:name w:val="TAL Car"/>
    <w:link w:val="TAL"/>
    <w:qFormat/>
    <w:rsid w:val="0068175B"/>
    <w:rPr>
      <w:rFonts w:ascii="Arial" w:eastAsia="MS Mincho" w:hAnsi="Arial" w:cs="Times New Roman"/>
      <w:sz w:val="18"/>
      <w:szCs w:val="20"/>
      <w:lang w:val="en-GB"/>
    </w:rPr>
  </w:style>
  <w:style w:type="paragraph" w:customStyle="1" w:styleId="Default">
    <w:name w:val="Default"/>
    <w:rsid w:val="0068175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1"/>
    <w:qFormat/>
    <w:rsid w:val="00677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1">
    <w:name w:val="B1 Char1"/>
    <w:link w:val="B1"/>
    <w:qFormat/>
    <w:rsid w:val="0067748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67748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67748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77489"/>
    <w:pPr>
      <w:ind w:left="283" w:hanging="283"/>
      <w:contextualSpacing/>
    </w:pPr>
  </w:style>
  <w:style w:type="paragraph" w:styleId="List2">
    <w:name w:val="List 2"/>
    <w:basedOn w:val="Normal"/>
    <w:uiPriority w:val="99"/>
    <w:semiHidden/>
    <w:unhideWhenUsed/>
    <w:rsid w:val="00677489"/>
    <w:pPr>
      <w:ind w:left="566" w:hanging="283"/>
      <w:contextualSpacing/>
    </w:pPr>
  </w:style>
  <w:style w:type="paragraph" w:customStyle="1" w:styleId="TH">
    <w:name w:val="TH"/>
    <w:basedOn w:val="Normal"/>
    <w:link w:val="THChar"/>
    <w:qFormat/>
    <w:rsid w:val="006D39F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x-none" w:eastAsia="x-none"/>
    </w:rPr>
  </w:style>
  <w:style w:type="character" w:customStyle="1" w:styleId="THChar">
    <w:name w:val="TH Char"/>
    <w:link w:val="TH"/>
    <w:qFormat/>
    <w:rsid w:val="006D39F4"/>
    <w:rPr>
      <w:rFonts w:ascii="Arial" w:eastAsia="Times New Roman" w:hAnsi="Arial" w:cs="Times New Roman"/>
      <w:b/>
      <w:sz w:val="20"/>
      <w:szCs w:val="20"/>
      <w:lang w:val="x-none" w:eastAsia="x-none"/>
    </w:rPr>
  </w:style>
  <w:style w:type="paragraph" w:customStyle="1" w:styleId="TF">
    <w:name w:val="TF"/>
    <w:basedOn w:val="TH"/>
    <w:link w:val="TFChar"/>
    <w:rsid w:val="006D39F4"/>
    <w:pPr>
      <w:keepNext w:val="0"/>
      <w:spacing w:before="0" w:after="240"/>
    </w:pPr>
    <w:rPr>
      <w:lang w:val="en-GB" w:eastAsia="ja-JP"/>
    </w:rPr>
  </w:style>
  <w:style w:type="character" w:customStyle="1" w:styleId="TFChar">
    <w:name w:val="TF Char"/>
    <w:link w:val="TF"/>
    <w:rsid w:val="006D39F4"/>
    <w:rPr>
      <w:rFonts w:ascii="Arial" w:eastAsia="Times New Roman" w:hAnsi="Arial" w:cs="Times New Roman"/>
      <w:b/>
      <w:sz w:val="20"/>
      <w:szCs w:val="20"/>
      <w:lang w:val="en-GB" w:eastAsia="ja-JP"/>
    </w:rPr>
  </w:style>
  <w:style w:type="character" w:styleId="CommentReference">
    <w:name w:val="annotation reference"/>
    <w:basedOn w:val="DefaultParagraphFont"/>
    <w:uiPriority w:val="99"/>
    <w:semiHidden/>
    <w:unhideWhenUsed/>
    <w:rsid w:val="00801B2C"/>
    <w:rPr>
      <w:sz w:val="16"/>
      <w:szCs w:val="16"/>
    </w:rPr>
  </w:style>
  <w:style w:type="paragraph" w:styleId="CommentText">
    <w:name w:val="annotation text"/>
    <w:basedOn w:val="Normal"/>
    <w:link w:val="CommentTextChar"/>
    <w:uiPriority w:val="99"/>
    <w:semiHidden/>
    <w:unhideWhenUsed/>
    <w:rsid w:val="00801B2C"/>
    <w:pPr>
      <w:spacing w:line="240" w:lineRule="auto"/>
    </w:pPr>
    <w:rPr>
      <w:szCs w:val="20"/>
    </w:rPr>
  </w:style>
  <w:style w:type="character" w:customStyle="1" w:styleId="CommentTextChar">
    <w:name w:val="Comment Text Char"/>
    <w:basedOn w:val="DefaultParagraphFont"/>
    <w:link w:val="CommentText"/>
    <w:uiPriority w:val="99"/>
    <w:semiHidden/>
    <w:rsid w:val="00801B2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01B2C"/>
    <w:rPr>
      <w:b/>
      <w:bCs/>
    </w:rPr>
  </w:style>
  <w:style w:type="character" w:customStyle="1" w:styleId="CommentSubjectChar">
    <w:name w:val="Comment Subject Char"/>
    <w:basedOn w:val="CommentTextChar"/>
    <w:link w:val="CommentSubject"/>
    <w:uiPriority w:val="99"/>
    <w:semiHidden/>
    <w:rsid w:val="00801B2C"/>
    <w:rPr>
      <w:rFonts w:ascii="Times New Roman" w:hAnsi="Times New Roman"/>
      <w:b/>
      <w:bCs/>
      <w:sz w:val="20"/>
      <w:szCs w:val="20"/>
    </w:rPr>
  </w:style>
  <w:style w:type="paragraph" w:styleId="BalloonText">
    <w:name w:val="Balloon Text"/>
    <w:basedOn w:val="Normal"/>
    <w:link w:val="BalloonTextChar"/>
    <w:uiPriority w:val="99"/>
    <w:semiHidden/>
    <w:unhideWhenUsed/>
    <w:rsid w:val="00801B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B2C"/>
    <w:rPr>
      <w:rFonts w:ascii="Segoe UI" w:hAnsi="Segoe UI" w:cs="Segoe UI"/>
      <w:sz w:val="18"/>
      <w:szCs w:val="18"/>
    </w:rPr>
  </w:style>
  <w:style w:type="paragraph" w:styleId="NormalWeb">
    <w:name w:val="Normal (Web)"/>
    <w:basedOn w:val="Normal"/>
    <w:uiPriority w:val="99"/>
    <w:semiHidden/>
    <w:unhideWhenUsed/>
    <w:rsid w:val="006E799E"/>
    <w:pPr>
      <w:spacing w:before="100" w:beforeAutospacing="1" w:after="100" w:afterAutospacing="1" w:line="240" w:lineRule="auto"/>
    </w:pPr>
    <w:rPr>
      <w:rFonts w:eastAsia="Times New Roman" w:cs="Times New Roman"/>
      <w:sz w:val="24"/>
      <w:szCs w:val="24"/>
      <w:lang w:val="da-DK" w:eastAsia="da-DK"/>
    </w:rPr>
  </w:style>
  <w:style w:type="paragraph" w:customStyle="1" w:styleId="B3">
    <w:name w:val="B3"/>
    <w:basedOn w:val="Normal"/>
    <w:link w:val="B3Char"/>
    <w:rsid w:val="00712297"/>
    <w:pPr>
      <w:spacing w:after="180" w:line="240" w:lineRule="auto"/>
      <w:ind w:left="1135" w:hanging="284"/>
    </w:pPr>
    <w:rPr>
      <w:rFonts w:eastAsia="Malgun Gothic" w:cs="Times New Roman"/>
      <w:szCs w:val="20"/>
      <w:lang w:val="en-GB"/>
    </w:rPr>
  </w:style>
  <w:style w:type="character" w:customStyle="1" w:styleId="B1Char">
    <w:name w:val="B1 Char"/>
    <w:rsid w:val="00712297"/>
    <w:rPr>
      <w:lang w:val="en-GB" w:eastAsia="en-US"/>
    </w:rPr>
  </w:style>
  <w:style w:type="character" w:customStyle="1" w:styleId="B3Char">
    <w:name w:val="B3 Char"/>
    <w:link w:val="B3"/>
    <w:rsid w:val="00712297"/>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175364">
      <w:bodyDiv w:val="1"/>
      <w:marLeft w:val="0"/>
      <w:marRight w:val="0"/>
      <w:marTop w:val="0"/>
      <w:marBottom w:val="0"/>
      <w:divBdr>
        <w:top w:val="none" w:sz="0" w:space="0" w:color="auto"/>
        <w:left w:val="none" w:sz="0" w:space="0" w:color="auto"/>
        <w:bottom w:val="none" w:sz="0" w:space="0" w:color="auto"/>
        <w:right w:val="none" w:sz="0" w:space="0" w:color="auto"/>
      </w:divBdr>
    </w:div>
    <w:div w:id="660354256">
      <w:bodyDiv w:val="1"/>
      <w:marLeft w:val="0"/>
      <w:marRight w:val="0"/>
      <w:marTop w:val="0"/>
      <w:marBottom w:val="0"/>
      <w:divBdr>
        <w:top w:val="none" w:sz="0" w:space="0" w:color="auto"/>
        <w:left w:val="none" w:sz="0" w:space="0" w:color="auto"/>
        <w:bottom w:val="none" w:sz="0" w:space="0" w:color="auto"/>
        <w:right w:val="none" w:sz="0" w:space="0" w:color="auto"/>
      </w:divBdr>
    </w:div>
    <w:div w:id="774790371">
      <w:bodyDiv w:val="1"/>
      <w:marLeft w:val="0"/>
      <w:marRight w:val="0"/>
      <w:marTop w:val="0"/>
      <w:marBottom w:val="0"/>
      <w:divBdr>
        <w:top w:val="none" w:sz="0" w:space="0" w:color="auto"/>
        <w:left w:val="none" w:sz="0" w:space="0" w:color="auto"/>
        <w:bottom w:val="none" w:sz="0" w:space="0" w:color="auto"/>
        <w:right w:val="none" w:sz="0" w:space="0" w:color="auto"/>
      </w:divBdr>
    </w:div>
    <w:div w:id="996691287">
      <w:bodyDiv w:val="1"/>
      <w:marLeft w:val="0"/>
      <w:marRight w:val="0"/>
      <w:marTop w:val="0"/>
      <w:marBottom w:val="0"/>
      <w:divBdr>
        <w:top w:val="none" w:sz="0" w:space="0" w:color="auto"/>
        <w:left w:val="none" w:sz="0" w:space="0" w:color="auto"/>
        <w:bottom w:val="none" w:sz="0" w:space="0" w:color="auto"/>
        <w:right w:val="none" w:sz="0" w:space="0" w:color="auto"/>
      </w:divBdr>
    </w:div>
    <w:div w:id="1238370259">
      <w:bodyDiv w:val="1"/>
      <w:marLeft w:val="0"/>
      <w:marRight w:val="0"/>
      <w:marTop w:val="0"/>
      <w:marBottom w:val="0"/>
      <w:divBdr>
        <w:top w:val="none" w:sz="0" w:space="0" w:color="auto"/>
        <w:left w:val="none" w:sz="0" w:space="0" w:color="auto"/>
        <w:bottom w:val="none" w:sz="0" w:space="0" w:color="auto"/>
        <w:right w:val="none" w:sz="0" w:space="0" w:color="auto"/>
      </w:divBdr>
    </w:div>
    <w:div w:id="1577085876">
      <w:bodyDiv w:val="1"/>
      <w:marLeft w:val="0"/>
      <w:marRight w:val="0"/>
      <w:marTop w:val="0"/>
      <w:marBottom w:val="0"/>
      <w:divBdr>
        <w:top w:val="none" w:sz="0" w:space="0" w:color="auto"/>
        <w:left w:val="none" w:sz="0" w:space="0" w:color="auto"/>
        <w:bottom w:val="none" w:sz="0" w:space="0" w:color="auto"/>
        <w:right w:val="none" w:sz="0" w:space="0" w:color="auto"/>
      </w:divBdr>
    </w:div>
    <w:div w:id="1714453237">
      <w:bodyDiv w:val="1"/>
      <w:marLeft w:val="0"/>
      <w:marRight w:val="0"/>
      <w:marTop w:val="0"/>
      <w:marBottom w:val="0"/>
      <w:divBdr>
        <w:top w:val="none" w:sz="0" w:space="0" w:color="auto"/>
        <w:left w:val="none" w:sz="0" w:space="0" w:color="auto"/>
        <w:bottom w:val="none" w:sz="0" w:space="0" w:color="auto"/>
        <w:right w:val="none" w:sz="0" w:space="0" w:color="auto"/>
      </w:divBdr>
      <w:divsChild>
        <w:div w:id="629946076">
          <w:marLeft w:val="1080"/>
          <w:marRight w:val="0"/>
          <w:marTop w:val="100"/>
          <w:marBottom w:val="0"/>
          <w:divBdr>
            <w:top w:val="none" w:sz="0" w:space="0" w:color="auto"/>
            <w:left w:val="none" w:sz="0" w:space="0" w:color="auto"/>
            <w:bottom w:val="none" w:sz="0" w:space="0" w:color="auto"/>
            <w:right w:val="none" w:sz="0" w:space="0" w:color="auto"/>
          </w:divBdr>
        </w:div>
        <w:div w:id="895046349">
          <w:marLeft w:val="360"/>
          <w:marRight w:val="0"/>
          <w:marTop w:val="200"/>
          <w:marBottom w:val="0"/>
          <w:divBdr>
            <w:top w:val="none" w:sz="0" w:space="0" w:color="auto"/>
            <w:left w:val="none" w:sz="0" w:space="0" w:color="auto"/>
            <w:bottom w:val="none" w:sz="0" w:space="0" w:color="auto"/>
            <w:right w:val="none" w:sz="0" w:space="0" w:color="auto"/>
          </w:divBdr>
        </w:div>
        <w:div w:id="1121649221">
          <w:marLeft w:val="1080"/>
          <w:marRight w:val="0"/>
          <w:marTop w:val="100"/>
          <w:marBottom w:val="0"/>
          <w:divBdr>
            <w:top w:val="none" w:sz="0" w:space="0" w:color="auto"/>
            <w:left w:val="none" w:sz="0" w:space="0" w:color="auto"/>
            <w:bottom w:val="none" w:sz="0" w:space="0" w:color="auto"/>
            <w:right w:val="none" w:sz="0" w:space="0" w:color="auto"/>
          </w:divBdr>
        </w:div>
        <w:div w:id="1732390411">
          <w:marLeft w:val="1800"/>
          <w:marRight w:val="0"/>
          <w:marTop w:val="100"/>
          <w:marBottom w:val="0"/>
          <w:divBdr>
            <w:top w:val="none" w:sz="0" w:space="0" w:color="auto"/>
            <w:left w:val="none" w:sz="0" w:space="0" w:color="auto"/>
            <w:bottom w:val="none" w:sz="0" w:space="0" w:color="auto"/>
            <w:right w:val="none" w:sz="0" w:space="0" w:color="auto"/>
          </w:divBdr>
        </w:div>
        <w:div w:id="1852911920">
          <w:marLeft w:val="1080"/>
          <w:marRight w:val="0"/>
          <w:marTop w:val="100"/>
          <w:marBottom w:val="0"/>
          <w:divBdr>
            <w:top w:val="none" w:sz="0" w:space="0" w:color="auto"/>
            <w:left w:val="none" w:sz="0" w:space="0" w:color="auto"/>
            <w:bottom w:val="none" w:sz="0" w:space="0" w:color="auto"/>
            <w:right w:val="none" w:sz="0" w:space="0" w:color="auto"/>
          </w:divBdr>
        </w:div>
        <w:div w:id="2107262950">
          <w:marLeft w:val="1080"/>
          <w:marRight w:val="0"/>
          <w:marTop w:val="100"/>
          <w:marBottom w:val="0"/>
          <w:divBdr>
            <w:top w:val="none" w:sz="0" w:space="0" w:color="auto"/>
            <w:left w:val="none" w:sz="0" w:space="0" w:color="auto"/>
            <w:bottom w:val="none" w:sz="0" w:space="0" w:color="auto"/>
            <w:right w:val="none" w:sz="0" w:space="0" w:color="auto"/>
          </w:divBdr>
        </w:div>
      </w:divsChild>
    </w:div>
    <w:div w:id="1762023829">
      <w:bodyDiv w:val="1"/>
      <w:marLeft w:val="0"/>
      <w:marRight w:val="0"/>
      <w:marTop w:val="0"/>
      <w:marBottom w:val="0"/>
      <w:divBdr>
        <w:top w:val="none" w:sz="0" w:space="0" w:color="auto"/>
        <w:left w:val="none" w:sz="0" w:space="0" w:color="auto"/>
        <w:bottom w:val="none" w:sz="0" w:space="0" w:color="auto"/>
        <w:right w:val="none" w:sz="0" w:space="0" w:color="auto"/>
      </w:divBdr>
      <w:divsChild>
        <w:div w:id="753668420">
          <w:marLeft w:val="1800"/>
          <w:marRight w:val="0"/>
          <w:marTop w:val="100"/>
          <w:marBottom w:val="0"/>
          <w:divBdr>
            <w:top w:val="none" w:sz="0" w:space="0" w:color="auto"/>
            <w:left w:val="none" w:sz="0" w:space="0" w:color="auto"/>
            <w:bottom w:val="none" w:sz="0" w:space="0" w:color="auto"/>
            <w:right w:val="none" w:sz="0" w:space="0" w:color="auto"/>
          </w:divBdr>
        </w:div>
        <w:div w:id="1044065986">
          <w:marLeft w:val="1800"/>
          <w:marRight w:val="0"/>
          <w:marTop w:val="100"/>
          <w:marBottom w:val="0"/>
          <w:divBdr>
            <w:top w:val="none" w:sz="0" w:space="0" w:color="auto"/>
            <w:left w:val="none" w:sz="0" w:space="0" w:color="auto"/>
            <w:bottom w:val="none" w:sz="0" w:space="0" w:color="auto"/>
            <w:right w:val="none" w:sz="0" w:space="0" w:color="auto"/>
          </w:divBdr>
        </w:div>
        <w:div w:id="1140810381">
          <w:marLeft w:val="1080"/>
          <w:marRight w:val="0"/>
          <w:marTop w:val="100"/>
          <w:marBottom w:val="0"/>
          <w:divBdr>
            <w:top w:val="none" w:sz="0" w:space="0" w:color="auto"/>
            <w:left w:val="none" w:sz="0" w:space="0" w:color="auto"/>
            <w:bottom w:val="none" w:sz="0" w:space="0" w:color="auto"/>
            <w:right w:val="none" w:sz="0" w:space="0" w:color="auto"/>
          </w:divBdr>
        </w:div>
      </w:divsChild>
    </w:div>
    <w:div w:id="1825395219">
      <w:bodyDiv w:val="1"/>
      <w:marLeft w:val="0"/>
      <w:marRight w:val="0"/>
      <w:marTop w:val="0"/>
      <w:marBottom w:val="0"/>
      <w:divBdr>
        <w:top w:val="none" w:sz="0" w:space="0" w:color="auto"/>
        <w:left w:val="none" w:sz="0" w:space="0" w:color="auto"/>
        <w:bottom w:val="none" w:sz="0" w:space="0" w:color="auto"/>
        <w:right w:val="none" w:sz="0" w:space="0" w:color="auto"/>
      </w:divBdr>
    </w:div>
    <w:div w:id="185927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5AIRPNAIUNRU-1328258698-714</_dlc_DocId>
    <_dlc_DocIdUrl xmlns="71c5aaf6-e6ce-465b-b873-5148d2a4c105">
      <Url>https://nokia.sharepoint.com/sites/c5g/5gradio/_layouts/15/DocIdRedir.aspx?ID=5AIRPNAIUNRU-1328258698-714</Url>
      <Description>5AIRPNAIUNRU-1328258698-714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946A4-A6F8-49EC-ADBB-5805DA8A2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06568A-2755-450A-A5AE-723262DFD01C}">
  <ds:schemaRefs>
    <ds:schemaRef ds:uri="Microsoft.SharePoint.Taxonomy.ContentTypeSync"/>
  </ds:schemaRefs>
</ds:datastoreItem>
</file>

<file path=customXml/itemProps3.xml><?xml version="1.0" encoding="utf-8"?>
<ds:datastoreItem xmlns:ds="http://schemas.openxmlformats.org/officeDocument/2006/customXml" ds:itemID="{0C62B14F-354D-4E35-A899-F34310A4CDB1}">
  <ds:schemaRefs>
    <ds:schemaRef ds:uri="http://purl.org/dc/dcmitype/"/>
    <ds:schemaRef ds:uri="http://purl.org/dc/elements/1.1/"/>
    <ds:schemaRef ds:uri="http://schemas.openxmlformats.org/package/2006/metadata/core-properties"/>
    <ds:schemaRef ds:uri="http://schemas.microsoft.com/office/2006/metadata/properties"/>
    <ds:schemaRef ds:uri="3b34c8f0-1ef5-4d1e-bb66-517ce7fe7356"/>
    <ds:schemaRef ds:uri="http://schemas.microsoft.com/office/2006/documentManagement/types"/>
    <ds:schemaRef ds:uri="http://www.w3.org/XML/1998/namespace"/>
    <ds:schemaRef ds:uri="http://schemas.microsoft.com/office/infopath/2007/PartnerControls"/>
    <ds:schemaRef ds:uri="0b6aed8e-0313-4d17-80ff-d0e5da4931c5"/>
    <ds:schemaRef ds:uri="71c5aaf6-e6ce-465b-b873-5148d2a4c105"/>
    <ds:schemaRef ds:uri="http://purl.org/dc/terms/"/>
  </ds:schemaRefs>
</ds:datastoreItem>
</file>

<file path=customXml/itemProps4.xml><?xml version="1.0" encoding="utf-8"?>
<ds:datastoreItem xmlns:ds="http://schemas.openxmlformats.org/officeDocument/2006/customXml" ds:itemID="{3786A211-9A5A-4470-9A3A-114DB829B8DC}">
  <ds:schemaRefs>
    <ds:schemaRef ds:uri="http://schemas.microsoft.com/sharepoint/events"/>
  </ds:schemaRefs>
</ds:datastoreItem>
</file>

<file path=customXml/itemProps5.xml><?xml version="1.0" encoding="utf-8"?>
<ds:datastoreItem xmlns:ds="http://schemas.openxmlformats.org/officeDocument/2006/customXml" ds:itemID="{3AA1DCD7-A729-422A-B83F-D819100E98B7}">
  <ds:schemaRefs>
    <ds:schemaRef ds:uri="http://schemas.microsoft.com/sharepoint/v3/contenttype/forms"/>
  </ds:schemaRefs>
</ds:datastoreItem>
</file>

<file path=customXml/itemProps6.xml><?xml version="1.0" encoding="utf-8"?>
<ds:datastoreItem xmlns:ds="http://schemas.openxmlformats.org/officeDocument/2006/customXml" ds:itemID="{40A5CD10-076A-4E62-958D-49D3A1296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1073</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2019-11-08T11:51:00Z</dcterms:created>
  <dcterms:modified xsi:type="dcterms:W3CDTF">2019-11-08T11:51:00Z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1e9dc582-c3e7-4938-8d1c-c402997a533f</vt:lpwstr>
  </property>
</Properties>
</file>